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spacing w:line="580" w:lineRule="exact"/>
        <w:jc w:val="both"/>
        <w:textAlignment w:val="auto"/>
        <w:rPr>
          <w:rFonts w:hint="eastAsia" w:ascii="方正小标宋简体" w:eastAsia="方正小标宋简体"/>
          <w:sz w:val="44"/>
          <w:szCs w:val="44"/>
          <w:u w:val="none"/>
          <w:lang w:eastAsia="zh-CN"/>
        </w:rPr>
      </w:pP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u w:val="none"/>
          <w:lang w:eastAsia="zh-CN"/>
        </w:rPr>
      </w:pPr>
      <w:bookmarkStart w:id="5" w:name="_GoBack"/>
      <w:bookmarkEnd w:id="5"/>
      <w:bookmarkStart w:id="0" w:name="OLE_LINK1"/>
      <w:r>
        <w:rPr>
          <w:rFonts w:hint="eastAsia" w:ascii="方正小标宋简体" w:eastAsia="方正小标宋简体"/>
          <w:sz w:val="44"/>
          <w:szCs w:val="44"/>
          <w:u w:val="none"/>
          <w:lang w:eastAsia="zh-CN"/>
        </w:rPr>
        <w:t>内蒙古自治区人民政府办公厅</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u w:val="none"/>
          <w:lang w:eastAsia="zh-CN"/>
        </w:rPr>
      </w:pPr>
      <w:r>
        <w:rPr>
          <w:rFonts w:hint="eastAsia" w:ascii="方正小标宋简体" w:eastAsia="方正小标宋简体"/>
          <w:sz w:val="44"/>
          <w:szCs w:val="44"/>
          <w:u w:val="none"/>
          <w:lang w:eastAsia="zh-CN"/>
        </w:rPr>
        <w:t>关于进一步加强绿色矿山建设的通知</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eastAsia="方正小标宋简体"/>
          <w:sz w:val="44"/>
          <w:szCs w:val="44"/>
          <w:u w:val="none"/>
          <w:lang w:eastAsia="zh-CN"/>
        </w:rPr>
      </w:pPr>
    </w:p>
    <w:p>
      <w:pPr>
        <w:keepNext w:val="0"/>
        <w:keepLines w:val="0"/>
        <w:pageBreakBefore w:val="0"/>
        <w:widowControl w:val="0"/>
        <w:kinsoku/>
        <w:wordWrap/>
        <w:overflowPunct/>
        <w:topLinePunct/>
        <w:autoSpaceDE/>
        <w:autoSpaceDN/>
        <w:bidi w:val="0"/>
        <w:adjustRightInd w:val="0"/>
        <w:snapToGrid w:val="0"/>
        <w:spacing w:line="580" w:lineRule="exact"/>
        <w:jc w:val="center"/>
        <w:textAlignment w:val="auto"/>
        <w:rPr>
          <w:rFonts w:hint="eastAsia" w:ascii="方正小标宋简体" w:eastAsia="方正小标宋简体"/>
          <w:sz w:val="44"/>
          <w:szCs w:val="44"/>
          <w:u w:val="none"/>
          <w:lang w:eastAsia="zh-CN"/>
        </w:rPr>
      </w:pPr>
      <w:bookmarkStart w:id="1" w:name="OLE_LINK2"/>
      <w:r>
        <w:rPr>
          <w:rFonts w:hint="eastAsia" w:ascii="仿宋_GB2312" w:hAnsi="华文仿宋" w:eastAsia="仿宋_GB2312"/>
          <w:sz w:val="32"/>
          <w:lang w:eastAsia="zh-CN"/>
        </w:rPr>
        <w:t>内政办发〔202</w:t>
      </w:r>
      <w:r>
        <w:rPr>
          <w:rFonts w:hint="eastAsia" w:ascii="仿宋_GB2312" w:hAnsi="华文仿宋" w:eastAsia="仿宋_GB2312"/>
          <w:sz w:val="32"/>
          <w:lang w:val="en-US" w:eastAsia="zh-CN"/>
        </w:rPr>
        <w:t>5</w:t>
      </w:r>
      <w:r>
        <w:rPr>
          <w:rFonts w:hint="eastAsia" w:ascii="仿宋_GB2312" w:hAnsi="华文仿宋" w:eastAsia="仿宋_GB2312"/>
          <w:sz w:val="32"/>
          <w:lang w:eastAsia="zh-CN"/>
        </w:rPr>
        <w:t>〕</w:t>
      </w:r>
      <w:r>
        <w:rPr>
          <w:rFonts w:hint="eastAsia" w:ascii="仿宋_GB2312" w:hAnsi="华文仿宋" w:eastAsia="仿宋_GB2312"/>
          <w:sz w:val="32"/>
          <w:lang w:val="en-US" w:eastAsia="zh-CN"/>
        </w:rPr>
        <w:t>24</w:t>
      </w:r>
      <w:r>
        <w:rPr>
          <w:rFonts w:hint="eastAsia" w:ascii="仿宋_GB2312" w:hAnsi="华文仿宋" w:eastAsia="仿宋_GB2312"/>
          <w:sz w:val="32"/>
          <w:lang w:eastAsia="zh-CN"/>
        </w:rPr>
        <w:t>号</w:t>
      </w:r>
      <w:bookmarkEnd w:id="1"/>
    </w:p>
    <w:bookmarkEnd w:id="0"/>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_GBK" w:hAnsi="方正仿宋_GBK" w:eastAsia="方正仿宋_GBK" w:cs="方正仿宋_GBK"/>
          <w:b w:val="0"/>
          <w:bCs w:val="0"/>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u w:val="none"/>
        </w:rPr>
      </w:pPr>
      <w:bookmarkStart w:id="2" w:name="OLE_LINK3"/>
      <w:r>
        <w:rPr>
          <w:rFonts w:hint="eastAsia" w:ascii="仿宋" w:hAnsi="仿宋" w:eastAsia="仿宋" w:cs="仿宋"/>
          <w:b w:val="0"/>
          <w:bCs w:val="0"/>
          <w:sz w:val="32"/>
          <w:szCs w:val="32"/>
          <w:u w:val="none"/>
        </w:rPr>
        <w:t>各盟行政公署、市人民政府，自治区各有关委、办、厅、局：</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u w:val="none"/>
        </w:rPr>
      </w:pPr>
      <w:r>
        <w:rPr>
          <w:rFonts w:hint="eastAsia" w:ascii="仿宋" w:hAnsi="仿宋" w:eastAsia="仿宋" w:cs="仿宋"/>
          <w:b w:val="0"/>
          <w:bCs w:val="0"/>
          <w:sz w:val="32"/>
          <w:szCs w:val="32"/>
          <w:u w:val="none"/>
        </w:rPr>
        <w:t>为深入贯彻习近平生态文明思想，全面推进我国北方重要生</w:t>
      </w:r>
      <w:r>
        <w:rPr>
          <w:rFonts w:hint="eastAsia" w:ascii="仿宋" w:hAnsi="仿宋" w:eastAsia="仿宋" w:cs="仿宋"/>
          <w:b w:val="0"/>
          <w:bCs w:val="0"/>
          <w:spacing w:val="6"/>
          <w:sz w:val="32"/>
          <w:szCs w:val="32"/>
          <w:u w:val="none"/>
        </w:rPr>
        <w:t>态安全屏障建设，</w:t>
      </w:r>
      <w:r>
        <w:rPr>
          <w:rFonts w:hint="eastAsia" w:ascii="仿宋" w:hAnsi="仿宋" w:eastAsia="仿宋" w:cs="仿宋"/>
          <w:b w:val="0"/>
          <w:bCs w:val="0"/>
          <w:spacing w:val="6"/>
          <w:sz w:val="32"/>
          <w:szCs w:val="32"/>
          <w:u w:val="none"/>
          <w:lang w:eastAsia="zh-CN"/>
        </w:rPr>
        <w:t>紧紧围绕</w:t>
      </w:r>
      <w:r>
        <w:rPr>
          <w:rFonts w:hint="eastAsia" w:ascii="仿宋" w:hAnsi="仿宋" w:eastAsia="仿宋" w:cs="仿宋"/>
          <w:b w:val="0"/>
          <w:bCs w:val="0"/>
          <w:spacing w:val="6"/>
          <w:sz w:val="32"/>
          <w:szCs w:val="32"/>
          <w:u w:val="none"/>
        </w:rPr>
        <w:t>铸牢中华民族共同体意识工作主线，</w:t>
      </w:r>
      <w:r>
        <w:rPr>
          <w:rFonts w:hint="eastAsia" w:ascii="仿宋" w:hAnsi="仿宋" w:eastAsia="仿宋" w:cs="仿宋"/>
          <w:b w:val="0"/>
          <w:bCs w:val="0"/>
          <w:sz w:val="32"/>
          <w:szCs w:val="32"/>
          <w:u w:val="none"/>
        </w:rPr>
        <w:t>探索资源型地区转型发展新路径，通过构建政府主导、部门联动、企业主建、社会监督的绿色矿业发展机制，加快推动矿业高质量发展，依据自然资源部</w:t>
      </w:r>
      <w:r>
        <w:rPr>
          <w:rFonts w:hint="eastAsia" w:ascii="仿宋" w:hAnsi="仿宋" w:eastAsia="仿宋" w:cs="仿宋"/>
          <w:b w:val="0"/>
          <w:bCs w:val="0"/>
          <w:sz w:val="32"/>
          <w:szCs w:val="32"/>
          <w:u w:val="none"/>
          <w:lang w:eastAsia="zh-CN"/>
        </w:rPr>
        <w:t>等七部委</w:t>
      </w:r>
      <w:r>
        <w:rPr>
          <w:rFonts w:hint="eastAsia" w:ascii="仿宋" w:hAnsi="仿宋" w:eastAsia="仿宋" w:cs="仿宋"/>
          <w:b w:val="0"/>
          <w:bCs w:val="0"/>
          <w:sz w:val="32"/>
          <w:szCs w:val="32"/>
          <w:u w:val="none"/>
        </w:rPr>
        <w:t>《关于进一步加强绿色矿山建设的通知》（自然资规〔2024〕1号）</w:t>
      </w:r>
      <w:r>
        <w:rPr>
          <w:rFonts w:hint="eastAsia" w:ascii="仿宋" w:hAnsi="仿宋" w:eastAsia="仿宋" w:cs="仿宋"/>
          <w:b w:val="0"/>
          <w:bCs w:val="0"/>
          <w:sz w:val="32"/>
          <w:szCs w:val="32"/>
          <w:u w:val="none"/>
          <w:lang w:eastAsia="zh-CN"/>
        </w:rPr>
        <w:t>和</w:t>
      </w:r>
      <w:r>
        <w:rPr>
          <w:rFonts w:hint="eastAsia" w:ascii="仿宋" w:hAnsi="仿宋" w:eastAsia="仿宋" w:cs="仿宋"/>
          <w:b w:val="0"/>
          <w:bCs w:val="0"/>
          <w:sz w:val="32"/>
          <w:szCs w:val="32"/>
          <w:u w:val="none"/>
        </w:rPr>
        <w:t>《内蒙古自治区建设我国北方重要生态安全屏障促进条例》、《内蒙古自治区地质环境保护条例》</w:t>
      </w:r>
      <w:r>
        <w:rPr>
          <w:rFonts w:hint="eastAsia" w:ascii="仿宋" w:hAnsi="仿宋" w:eastAsia="仿宋" w:cs="仿宋"/>
          <w:b w:val="0"/>
          <w:bCs w:val="0"/>
          <w:sz w:val="32"/>
          <w:szCs w:val="32"/>
          <w:u w:val="none"/>
          <w:lang w:eastAsia="zh-CN"/>
        </w:rPr>
        <w:t>有关要求和规定</w:t>
      </w:r>
      <w:r>
        <w:rPr>
          <w:rFonts w:hint="eastAsia" w:ascii="仿宋" w:hAnsi="仿宋" w:eastAsia="仿宋" w:cs="仿宋"/>
          <w:b w:val="0"/>
          <w:bCs w:val="0"/>
          <w:sz w:val="32"/>
          <w:szCs w:val="32"/>
          <w:u w:val="none"/>
        </w:rPr>
        <w:t>，经自治区人民政府同意，现就</w:t>
      </w:r>
      <w:r>
        <w:rPr>
          <w:rFonts w:hint="eastAsia" w:ascii="仿宋" w:hAnsi="仿宋" w:eastAsia="仿宋" w:cs="仿宋"/>
          <w:b w:val="0"/>
          <w:bCs w:val="0"/>
          <w:sz w:val="32"/>
          <w:szCs w:val="32"/>
          <w:u w:val="none"/>
          <w:lang w:eastAsia="zh-CN"/>
        </w:rPr>
        <w:t>进一步加强</w:t>
      </w:r>
      <w:r>
        <w:rPr>
          <w:rFonts w:hint="eastAsia" w:ascii="仿宋" w:hAnsi="仿宋" w:eastAsia="仿宋" w:cs="仿宋"/>
          <w:b w:val="0"/>
          <w:bCs w:val="0"/>
          <w:sz w:val="32"/>
          <w:szCs w:val="32"/>
          <w:u w:val="none"/>
        </w:rPr>
        <w:t>绿色矿山建设有关事宜通知如下。</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u w:val="none"/>
        </w:rPr>
      </w:pPr>
      <w:r>
        <w:rPr>
          <w:rFonts w:hint="eastAsia" w:ascii="黑体" w:hAnsi="黑体" w:eastAsia="黑体" w:cs="黑体"/>
          <w:b w:val="0"/>
          <w:bCs w:val="0"/>
          <w:sz w:val="32"/>
          <w:szCs w:val="32"/>
          <w:u w:val="none"/>
        </w:rPr>
        <w:t>一、明确绿色矿山建设任务目标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仿宋" w:hAnsi="仿宋" w:eastAsia="仿宋" w:cs="仿宋"/>
          <w:b w:val="0"/>
          <w:bCs w:val="0"/>
          <w:sz w:val="32"/>
          <w:szCs w:val="32"/>
          <w:u w:val="none"/>
        </w:rPr>
        <w:t>到2028年底，绿色矿山建设工作机制更加完善，持证在产的90%大型矿山、80%中型矿山要达到绿色矿山标准要求，持证在产的小型矿山和剩余储量可采年限不足3年的生产矿山应参照绿色矿山标准管理。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u w:val="none"/>
        </w:rPr>
      </w:pPr>
      <w:r>
        <w:rPr>
          <w:rFonts w:hint="eastAsia" w:ascii="黑体" w:hAnsi="黑体" w:eastAsia="黑体" w:cs="黑体"/>
          <w:b w:val="0"/>
          <w:bCs w:val="0"/>
          <w:sz w:val="32"/>
          <w:szCs w:val="32"/>
          <w:u w:val="none"/>
        </w:rPr>
        <w:t>二、大力推进绿色矿山建设</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楷体" w:hAnsi="楷体" w:eastAsia="楷体" w:cs="楷体"/>
          <w:b w:val="0"/>
          <w:bCs w:val="0"/>
          <w:sz w:val="32"/>
          <w:szCs w:val="32"/>
          <w:u w:val="none"/>
        </w:rPr>
        <w:t>（一）</w:t>
      </w:r>
      <w:r>
        <w:rPr>
          <w:rFonts w:hint="eastAsia" w:ascii="楷体" w:hAnsi="楷体" w:eastAsia="楷体" w:cs="楷体"/>
          <w:b w:val="0"/>
          <w:bCs w:val="0"/>
          <w:spacing w:val="-6"/>
          <w:sz w:val="32"/>
          <w:szCs w:val="32"/>
          <w:u w:val="none"/>
        </w:rPr>
        <w:t>建立健全绿色矿山标准和评价指标。</w:t>
      </w:r>
      <w:r>
        <w:rPr>
          <w:rFonts w:hint="eastAsia" w:ascii="仿宋" w:hAnsi="仿宋" w:eastAsia="仿宋" w:cs="仿宋"/>
          <w:b w:val="0"/>
          <w:bCs w:val="0"/>
          <w:spacing w:val="11"/>
          <w:sz w:val="32"/>
          <w:szCs w:val="32"/>
          <w:u w:val="none"/>
        </w:rPr>
        <w:t>结合自治区实际，</w:t>
      </w:r>
      <w:r>
        <w:rPr>
          <w:rFonts w:hint="eastAsia" w:ascii="仿宋" w:hAnsi="仿宋" w:eastAsia="仿宋" w:cs="仿宋"/>
          <w:b w:val="0"/>
          <w:bCs w:val="0"/>
          <w:sz w:val="32"/>
          <w:szCs w:val="32"/>
          <w:u w:val="none"/>
        </w:rPr>
        <w:t>综合考虑区位条件、矿种、规模、开采方式等因素，制定自治区绿色矿山建设地方标准和评价指标（详见附件1）。自治区绿色矿山</w:t>
      </w:r>
      <w:r>
        <w:rPr>
          <w:rFonts w:hint="eastAsia" w:ascii="仿宋" w:hAnsi="仿宋" w:eastAsia="仿宋" w:cs="仿宋"/>
          <w:b w:val="0"/>
          <w:bCs w:val="0"/>
          <w:sz w:val="32"/>
          <w:szCs w:val="32"/>
          <w:u w:val="none"/>
          <w:lang w:eastAsia="zh-CN"/>
        </w:rPr>
        <w:t>建设</w:t>
      </w:r>
      <w:r>
        <w:rPr>
          <w:rFonts w:hint="eastAsia" w:ascii="仿宋" w:hAnsi="仿宋" w:eastAsia="仿宋" w:cs="仿宋"/>
          <w:b w:val="0"/>
          <w:bCs w:val="0"/>
          <w:sz w:val="32"/>
          <w:szCs w:val="32"/>
          <w:u w:val="none"/>
        </w:rPr>
        <w:t>评价指标将根据</w:t>
      </w:r>
      <w:r>
        <w:rPr>
          <w:rFonts w:hint="eastAsia" w:ascii="仿宋" w:hAnsi="仿宋" w:eastAsia="仿宋" w:cs="仿宋"/>
          <w:b w:val="0"/>
          <w:bCs w:val="0"/>
          <w:sz w:val="32"/>
          <w:szCs w:val="32"/>
          <w:u w:val="none"/>
          <w:lang w:eastAsia="zh-CN"/>
        </w:rPr>
        <w:t>相关</w:t>
      </w:r>
      <w:r>
        <w:rPr>
          <w:rFonts w:hint="eastAsia" w:ascii="仿宋" w:hAnsi="仿宋" w:eastAsia="仿宋" w:cs="仿宋"/>
          <w:b w:val="0"/>
          <w:bCs w:val="0"/>
          <w:sz w:val="32"/>
          <w:szCs w:val="32"/>
          <w:u w:val="none"/>
        </w:rPr>
        <w:t>法律法规</w:t>
      </w:r>
      <w:r>
        <w:rPr>
          <w:rFonts w:hint="eastAsia" w:ascii="仿宋" w:hAnsi="仿宋" w:eastAsia="仿宋" w:cs="仿宋"/>
          <w:b w:val="0"/>
          <w:bCs w:val="0"/>
          <w:sz w:val="32"/>
          <w:szCs w:val="32"/>
          <w:u w:val="none"/>
          <w:lang w:eastAsia="zh-CN"/>
        </w:rPr>
        <w:t>、</w:t>
      </w:r>
      <w:r>
        <w:rPr>
          <w:rFonts w:hint="eastAsia" w:ascii="仿宋" w:hAnsi="仿宋" w:eastAsia="仿宋" w:cs="仿宋"/>
          <w:b w:val="0"/>
          <w:bCs w:val="0"/>
          <w:sz w:val="32"/>
          <w:szCs w:val="32"/>
          <w:u w:val="none"/>
        </w:rPr>
        <w:t>技术标准变化及实际情况</w:t>
      </w:r>
      <w:r>
        <w:rPr>
          <w:rFonts w:hint="eastAsia" w:ascii="仿宋" w:hAnsi="仿宋" w:eastAsia="仿宋" w:cs="仿宋"/>
          <w:b w:val="0"/>
          <w:bCs w:val="0"/>
          <w:sz w:val="32"/>
          <w:szCs w:val="32"/>
          <w:u w:val="none"/>
          <w:lang w:eastAsia="zh-CN"/>
        </w:rPr>
        <w:t>，由自治区</w:t>
      </w:r>
      <w:r>
        <w:rPr>
          <w:rFonts w:hint="eastAsia" w:ascii="仿宋" w:hAnsi="仿宋" w:eastAsia="仿宋" w:cs="仿宋"/>
          <w:b w:val="0"/>
          <w:bCs w:val="0"/>
          <w:sz w:val="32"/>
          <w:szCs w:val="32"/>
          <w:u w:val="none"/>
        </w:rPr>
        <w:t>绿色矿山建设协调机制</w:t>
      </w:r>
      <w:r>
        <w:rPr>
          <w:rFonts w:hint="eastAsia" w:ascii="仿宋" w:hAnsi="仿宋" w:eastAsia="仿宋" w:cs="仿宋"/>
          <w:b w:val="0"/>
          <w:bCs w:val="0"/>
          <w:sz w:val="32"/>
          <w:szCs w:val="32"/>
          <w:u w:val="none"/>
          <w:lang w:eastAsia="zh-CN"/>
        </w:rPr>
        <w:t>办公室</w:t>
      </w:r>
      <w:r>
        <w:rPr>
          <w:rFonts w:hint="eastAsia" w:ascii="仿宋" w:hAnsi="仿宋" w:eastAsia="仿宋" w:cs="仿宋"/>
          <w:b w:val="0"/>
          <w:bCs w:val="0"/>
          <w:sz w:val="32"/>
          <w:szCs w:val="32"/>
          <w:u w:val="none"/>
        </w:rPr>
        <w:t>适时调整。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楷体" w:hAnsi="楷体" w:eastAsia="楷体" w:cs="楷体"/>
          <w:b w:val="0"/>
          <w:bCs w:val="0"/>
          <w:sz w:val="32"/>
          <w:szCs w:val="32"/>
          <w:u w:val="none"/>
        </w:rPr>
        <w:t>（二）制定绿色矿山建设年度目标任务。</w:t>
      </w:r>
      <w:r>
        <w:rPr>
          <w:rFonts w:hint="eastAsia" w:ascii="仿宋" w:hAnsi="仿宋" w:eastAsia="仿宋" w:cs="仿宋"/>
          <w:b w:val="0"/>
          <w:bCs w:val="0"/>
          <w:sz w:val="32"/>
          <w:szCs w:val="32"/>
          <w:u w:val="none"/>
        </w:rPr>
        <w:t>各盟行政公署、市人民政府要结合区域自然地理、矿种、开采规模等实际情况，科学合理研究制定本地区绿色矿山建设目标任务，按照合同管理制</w:t>
      </w:r>
      <w:r>
        <w:rPr>
          <w:rFonts w:hint="eastAsia" w:ascii="仿宋" w:hAnsi="仿宋" w:eastAsia="仿宋" w:cs="仿宋"/>
          <w:b w:val="0"/>
          <w:bCs w:val="0"/>
          <w:spacing w:val="6"/>
          <w:sz w:val="32"/>
          <w:szCs w:val="32"/>
          <w:u w:val="none"/>
        </w:rPr>
        <w:t>度与采矿权人签订合同，明确绿色矿山建设任务、进度、时限、</w:t>
      </w:r>
      <w:r>
        <w:rPr>
          <w:rFonts w:hint="eastAsia" w:ascii="仿宋" w:hAnsi="仿宋" w:eastAsia="仿宋" w:cs="仿宋"/>
          <w:b w:val="0"/>
          <w:bCs w:val="0"/>
          <w:sz w:val="32"/>
          <w:szCs w:val="32"/>
          <w:u w:val="none"/>
        </w:rPr>
        <w:t>要求及违约责任，推动新建和大中型生产矿山持续开展绿色矿山建设，其中</w:t>
      </w:r>
      <w:r>
        <w:rPr>
          <w:rFonts w:hint="eastAsia" w:ascii="仿宋" w:hAnsi="仿宋" w:eastAsia="仿宋" w:cs="仿宋"/>
          <w:b w:val="0"/>
          <w:bCs w:val="0"/>
          <w:sz w:val="32"/>
          <w:szCs w:val="32"/>
          <w:u w:val="none"/>
          <w:lang w:eastAsia="zh-CN"/>
        </w:rPr>
        <w:t>，</w:t>
      </w:r>
      <w:r>
        <w:rPr>
          <w:rFonts w:hint="eastAsia" w:ascii="仿宋" w:hAnsi="仿宋" w:eastAsia="仿宋" w:cs="仿宋"/>
          <w:b w:val="0"/>
          <w:bCs w:val="0"/>
          <w:sz w:val="32"/>
          <w:szCs w:val="32"/>
          <w:u w:val="none"/>
        </w:rPr>
        <w:t>新建矿山正式投产后1</w:t>
      </w:r>
      <w:r>
        <w:rPr>
          <w:rFonts w:hint="eastAsia" w:ascii="仿宋" w:hAnsi="仿宋" w:eastAsia="仿宋" w:cs="仿宋"/>
          <w:b w:val="0"/>
          <w:bCs w:val="0"/>
          <w:sz w:val="32"/>
          <w:szCs w:val="32"/>
          <w:u w:val="none"/>
          <w:lang w:eastAsia="zh-CN"/>
        </w:rPr>
        <w:t>—</w:t>
      </w:r>
      <w:r>
        <w:rPr>
          <w:rFonts w:hint="eastAsia" w:ascii="仿宋" w:hAnsi="仿宋" w:eastAsia="仿宋" w:cs="仿宋"/>
          <w:b w:val="0"/>
          <w:bCs w:val="0"/>
          <w:sz w:val="32"/>
          <w:szCs w:val="32"/>
          <w:u w:val="none"/>
        </w:rPr>
        <w:t>2年内应通过绿色矿山评估核查。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pacing w:val="6"/>
          <w:sz w:val="32"/>
          <w:szCs w:val="32"/>
          <w:u w:val="none"/>
        </w:rPr>
      </w:pPr>
      <w:r>
        <w:rPr>
          <w:rFonts w:hint="eastAsia" w:ascii="楷体" w:hAnsi="楷体" w:eastAsia="楷体" w:cs="楷体"/>
          <w:b w:val="0"/>
          <w:bCs w:val="0"/>
          <w:sz w:val="32"/>
          <w:szCs w:val="32"/>
          <w:u w:val="none"/>
        </w:rPr>
        <w:t>（三）严格绿色矿山申报评选流程。</w:t>
      </w:r>
      <w:r>
        <w:rPr>
          <w:rFonts w:hint="eastAsia" w:ascii="仿宋" w:hAnsi="仿宋" w:eastAsia="仿宋" w:cs="仿宋"/>
          <w:b w:val="0"/>
          <w:bCs w:val="0"/>
          <w:sz w:val="32"/>
          <w:szCs w:val="32"/>
          <w:u w:val="none"/>
        </w:rPr>
        <w:t>矿山企业完成绿色矿山</w:t>
      </w:r>
      <w:r>
        <w:rPr>
          <w:rFonts w:hint="eastAsia" w:ascii="仿宋" w:hAnsi="仿宋" w:eastAsia="仿宋" w:cs="仿宋"/>
          <w:b w:val="0"/>
          <w:bCs w:val="0"/>
          <w:spacing w:val="6"/>
          <w:sz w:val="32"/>
          <w:szCs w:val="32"/>
          <w:u w:val="none"/>
        </w:rPr>
        <w:t>建设任务自评估达到标准要求的，应向矿山所在地盟市自然资源局提交自评估报告申报绿色矿山，盟市自然资源局会同有关主管部门，组织对绿色矿山申报材料初审，包括资料核查和实地核查，审核通过后报自治区自然资源厅。自治区自然资源厅委托第三方评估机构进行现场评估，会同有关主管部门开展抽查、公示，通过抽查且公示无异议的矿山，纳入自治区绿色矿山名录管理并向社会公告。纳入绿色矿山名录的矿山实行动态管理，对出现《内蒙古自治区绿色矿山申报评估遴选及动态管理要求》（详见附件2）规定情形的，采取标注、限期整改、移出名录等措施及时处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楷体" w:hAnsi="楷体" w:eastAsia="楷体" w:cs="楷体"/>
          <w:b w:val="0"/>
          <w:bCs w:val="0"/>
          <w:sz w:val="32"/>
          <w:szCs w:val="32"/>
          <w:u w:val="none"/>
        </w:rPr>
        <w:t>（四）加强第三方评估管理。</w:t>
      </w:r>
      <w:r>
        <w:rPr>
          <w:rFonts w:hint="eastAsia" w:ascii="仿宋" w:hAnsi="仿宋" w:eastAsia="仿宋" w:cs="仿宋"/>
          <w:b w:val="0"/>
          <w:bCs w:val="0"/>
          <w:sz w:val="32"/>
          <w:szCs w:val="32"/>
          <w:u w:val="none"/>
        </w:rPr>
        <w:t>自治区自然资源厅</w:t>
      </w:r>
      <w:r>
        <w:rPr>
          <w:rFonts w:hint="eastAsia" w:ascii="仿宋" w:hAnsi="仿宋" w:eastAsia="仿宋" w:cs="仿宋"/>
          <w:b w:val="0"/>
          <w:bCs w:val="0"/>
          <w:sz w:val="32"/>
          <w:szCs w:val="32"/>
          <w:u w:val="none"/>
          <w:lang w:eastAsia="zh-CN"/>
        </w:rPr>
        <w:t>会同</w:t>
      </w:r>
      <w:r>
        <w:rPr>
          <w:rFonts w:hint="eastAsia" w:ascii="仿宋" w:hAnsi="仿宋" w:eastAsia="仿宋" w:cs="仿宋"/>
          <w:b w:val="0"/>
          <w:bCs w:val="0"/>
          <w:sz w:val="32"/>
          <w:szCs w:val="32"/>
          <w:u w:val="none"/>
        </w:rPr>
        <w:t>相关部门，加强</w:t>
      </w:r>
      <w:r>
        <w:rPr>
          <w:rFonts w:hint="eastAsia" w:ascii="仿宋" w:hAnsi="仿宋" w:eastAsia="仿宋" w:cs="仿宋"/>
          <w:b w:val="0"/>
          <w:bCs w:val="0"/>
          <w:sz w:val="32"/>
          <w:szCs w:val="32"/>
          <w:u w:val="none"/>
          <w:lang w:eastAsia="zh-CN"/>
        </w:rPr>
        <w:t>对</w:t>
      </w:r>
      <w:r>
        <w:rPr>
          <w:rFonts w:hint="eastAsia" w:ascii="仿宋" w:hAnsi="仿宋" w:eastAsia="仿宋" w:cs="仿宋"/>
          <w:b w:val="0"/>
          <w:bCs w:val="0"/>
          <w:sz w:val="32"/>
          <w:szCs w:val="32"/>
          <w:u w:val="none"/>
        </w:rPr>
        <w:t>第三方评估</w:t>
      </w:r>
      <w:r>
        <w:rPr>
          <w:rFonts w:hint="eastAsia" w:ascii="仿宋" w:hAnsi="仿宋" w:eastAsia="仿宋" w:cs="仿宋"/>
          <w:b w:val="0"/>
          <w:bCs w:val="0"/>
          <w:sz w:val="32"/>
          <w:szCs w:val="32"/>
          <w:u w:val="none"/>
          <w:lang w:eastAsia="zh-CN"/>
        </w:rPr>
        <w:t>工作的</w:t>
      </w:r>
      <w:r>
        <w:rPr>
          <w:rFonts w:hint="eastAsia" w:ascii="仿宋" w:hAnsi="仿宋" w:eastAsia="仿宋" w:cs="仿宋"/>
          <w:b w:val="0"/>
          <w:bCs w:val="0"/>
          <w:sz w:val="32"/>
          <w:szCs w:val="32"/>
          <w:u w:val="none"/>
        </w:rPr>
        <w:t>规范管理。第三方评估机构要严格按照工作要求开展评估工作，对照绿色矿山建设标准及评价指标，编制形成第三方评估报告并附核查记录及影像资料，严禁向矿山企业收取评估费用，签署真实性承诺，确保结果公平、公正。对经核实存在将所承担评估工作转让或外包、泄露矿山企业秘密、串通企业弄虚作假、评估结论严重失实等违规行为的第三方评估机构和评估人员予以通报，3年内不再采信其绿色矿山评估服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pacing w:val="-6"/>
          <w:sz w:val="32"/>
          <w:szCs w:val="32"/>
          <w:u w:val="none"/>
        </w:rPr>
      </w:pPr>
      <w:r>
        <w:rPr>
          <w:rFonts w:hint="eastAsia" w:ascii="楷体" w:hAnsi="楷体" w:eastAsia="楷体" w:cs="楷体"/>
          <w:b w:val="0"/>
          <w:bCs w:val="0"/>
          <w:sz w:val="32"/>
          <w:szCs w:val="32"/>
          <w:u w:val="none"/>
        </w:rPr>
        <w:t>（五）</w:t>
      </w:r>
      <w:r>
        <w:rPr>
          <w:rFonts w:hint="eastAsia" w:ascii="楷体" w:hAnsi="楷体" w:eastAsia="楷体" w:cs="楷体"/>
          <w:b w:val="0"/>
          <w:bCs w:val="0"/>
          <w:spacing w:val="-6"/>
          <w:sz w:val="32"/>
          <w:szCs w:val="32"/>
          <w:u w:val="none"/>
        </w:rPr>
        <w:t>压实矿山企业建设绿色矿山主体责任。</w:t>
      </w:r>
      <w:r>
        <w:rPr>
          <w:rFonts w:hint="eastAsia" w:ascii="仿宋" w:hAnsi="仿宋" w:eastAsia="仿宋" w:cs="仿宋"/>
          <w:b w:val="0"/>
          <w:bCs w:val="0"/>
          <w:spacing w:val="-6"/>
          <w:sz w:val="32"/>
          <w:szCs w:val="32"/>
          <w:u w:val="none"/>
        </w:rPr>
        <w:t>依法从事矿产资源开发的矿山企业是绿色矿山创建的责任主体</w:t>
      </w:r>
      <w:r>
        <w:rPr>
          <w:rFonts w:hint="eastAsia" w:ascii="仿宋" w:hAnsi="仿宋" w:eastAsia="仿宋" w:cs="仿宋"/>
          <w:b w:val="0"/>
          <w:bCs w:val="0"/>
          <w:spacing w:val="-6"/>
          <w:sz w:val="32"/>
          <w:szCs w:val="32"/>
          <w:u w:val="none"/>
          <w:lang w:eastAsia="zh-CN"/>
        </w:rPr>
        <w:t>，</w:t>
      </w:r>
      <w:r>
        <w:rPr>
          <w:rFonts w:hint="eastAsia" w:ascii="仿宋" w:hAnsi="仿宋" w:eastAsia="仿宋" w:cs="仿宋"/>
          <w:b w:val="0"/>
          <w:bCs w:val="0"/>
          <w:spacing w:val="-6"/>
          <w:sz w:val="32"/>
          <w:szCs w:val="32"/>
          <w:u w:val="none"/>
        </w:rPr>
        <w:t>要按照国家、自治区绿色矿山建设标准，在矿产资源开发过程中</w:t>
      </w:r>
      <w:r>
        <w:rPr>
          <w:rFonts w:hint="eastAsia" w:ascii="仿宋" w:hAnsi="仿宋" w:eastAsia="仿宋" w:cs="仿宋"/>
          <w:b w:val="0"/>
          <w:bCs w:val="0"/>
          <w:spacing w:val="-6"/>
          <w:sz w:val="32"/>
          <w:szCs w:val="32"/>
          <w:u w:val="none"/>
          <w:lang w:eastAsia="zh-CN"/>
        </w:rPr>
        <w:t>严格</w:t>
      </w:r>
      <w:r>
        <w:rPr>
          <w:rFonts w:hint="eastAsia" w:ascii="仿宋" w:hAnsi="仿宋" w:eastAsia="仿宋" w:cs="仿宋"/>
          <w:b w:val="0"/>
          <w:bCs w:val="0"/>
          <w:spacing w:val="-6"/>
          <w:sz w:val="32"/>
          <w:szCs w:val="32"/>
          <w:u w:val="none"/>
        </w:rPr>
        <w:t>执行矿产资源开</w:t>
      </w:r>
      <w:r>
        <w:rPr>
          <w:rFonts w:hint="eastAsia" w:ascii="仿宋" w:hAnsi="仿宋" w:eastAsia="仿宋" w:cs="仿宋"/>
          <w:b w:val="0"/>
          <w:bCs w:val="0"/>
          <w:spacing w:val="0"/>
          <w:sz w:val="32"/>
          <w:szCs w:val="32"/>
          <w:u w:val="none"/>
        </w:rPr>
        <w:t>采、初步设计、矿区生态修复、环境保护、水土保持、植被恢复、</w:t>
      </w:r>
      <w:r>
        <w:rPr>
          <w:rFonts w:hint="eastAsia" w:ascii="仿宋" w:hAnsi="仿宋" w:eastAsia="仿宋" w:cs="仿宋"/>
          <w:b w:val="0"/>
          <w:bCs w:val="0"/>
          <w:spacing w:val="-6"/>
          <w:sz w:val="32"/>
          <w:szCs w:val="32"/>
          <w:u w:val="none"/>
        </w:rPr>
        <w:t>安全生产等方案设计，将矿区及周边生态环境扰动控制在可控范围内，</w:t>
      </w:r>
      <w:r>
        <w:rPr>
          <w:rFonts w:hint="eastAsia" w:ascii="仿宋" w:hAnsi="仿宋" w:eastAsia="仿宋" w:cs="仿宋"/>
          <w:b w:val="0"/>
          <w:bCs w:val="0"/>
          <w:spacing w:val="-6"/>
          <w:sz w:val="32"/>
          <w:szCs w:val="32"/>
          <w:u w:val="none"/>
          <w:lang w:eastAsia="zh-CN"/>
        </w:rPr>
        <w:t>积极</w:t>
      </w:r>
      <w:r>
        <w:rPr>
          <w:rFonts w:hint="eastAsia" w:ascii="仿宋" w:hAnsi="仿宋" w:eastAsia="仿宋" w:cs="仿宋"/>
          <w:b w:val="0"/>
          <w:bCs w:val="0"/>
          <w:spacing w:val="-6"/>
          <w:sz w:val="32"/>
          <w:szCs w:val="32"/>
          <w:u w:val="none"/>
        </w:rPr>
        <w:t>建设矿区环境生态化、开采方式科学化、资源利用高效化、企业管理规范化</w:t>
      </w:r>
      <w:r>
        <w:rPr>
          <w:rFonts w:hint="eastAsia" w:ascii="仿宋" w:hAnsi="仿宋" w:eastAsia="仿宋" w:cs="仿宋"/>
          <w:b w:val="0"/>
          <w:bCs w:val="0"/>
          <w:spacing w:val="-6"/>
          <w:sz w:val="32"/>
          <w:szCs w:val="32"/>
          <w:u w:val="none"/>
          <w:lang w:eastAsia="zh-CN"/>
        </w:rPr>
        <w:t>、</w:t>
      </w:r>
      <w:r>
        <w:rPr>
          <w:rFonts w:hint="eastAsia" w:ascii="仿宋" w:hAnsi="仿宋" w:eastAsia="仿宋" w:cs="仿宋"/>
          <w:b w:val="0"/>
          <w:bCs w:val="0"/>
          <w:spacing w:val="-6"/>
          <w:sz w:val="32"/>
          <w:szCs w:val="32"/>
          <w:u w:val="none"/>
        </w:rPr>
        <w:t>矿区社区和谐化的绿色矿山。已纳入绿色矿山名录的矿山要对照新评价指标持续巩固绿色矿山建设成果。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楷体" w:hAnsi="楷体" w:eastAsia="楷体" w:cs="楷体"/>
          <w:b w:val="0"/>
          <w:bCs w:val="0"/>
          <w:sz w:val="32"/>
          <w:szCs w:val="32"/>
          <w:u w:val="none"/>
        </w:rPr>
        <w:t>（六）择优推荐国家级绿色矿山。</w:t>
      </w:r>
      <w:r>
        <w:rPr>
          <w:rFonts w:hint="eastAsia" w:ascii="仿宋" w:hAnsi="仿宋" w:eastAsia="仿宋" w:cs="仿宋"/>
          <w:b w:val="0"/>
          <w:bCs w:val="0"/>
          <w:sz w:val="32"/>
          <w:szCs w:val="32"/>
          <w:u w:val="none"/>
        </w:rPr>
        <w:t>国家级绿色矿山从自治区级绿色矿山中择优推荐，优先推荐矿产资源开发利用水平领先矿山、研发使用《矿产资源节约和综合利用先进适用技术目录》中的工艺技术或装备的矿山，以及对促进矿产资源全面节约、高效利用和生态修复贡献较大的矿山申报国家级绿色矿山，遴选工作根据自然资源部有关文件要求组织开展。</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楷体" w:hAnsi="楷体" w:eastAsia="楷体" w:cs="楷体"/>
          <w:b w:val="0"/>
          <w:bCs w:val="0"/>
          <w:sz w:val="32"/>
          <w:szCs w:val="32"/>
          <w:u w:val="none"/>
        </w:rPr>
        <w:t>（七）加大政策支持力度。</w:t>
      </w:r>
      <w:r>
        <w:rPr>
          <w:rFonts w:hint="eastAsia" w:ascii="仿宋" w:hAnsi="仿宋" w:eastAsia="仿宋" w:cs="仿宋"/>
          <w:b w:val="0"/>
          <w:bCs w:val="0"/>
          <w:sz w:val="32"/>
          <w:szCs w:val="32"/>
          <w:u w:val="none"/>
        </w:rPr>
        <w:t>鼓励绿色矿山或为绿色矿山建设服务的项目纳入国家、自治区重大项目清单，在土地利用计划指标配置方面依法依规予以支持。允许绿色矿山腾退的建设用地指标用于同一法人企业在自治区范围内新采矿活动占用同地类的农用地。在满足自用的基础上，优先支持节余的用地指标实施跨县域交易。对于国家级绿色矿山、采用先进开采选冶技术矿山和矿产资源开发利用水平领先矿山，符合《自然资源部关于深化矿产资源管理改革若干事项的意见》（自然资规〔2023〕6号）规定的，可优先以协议方式取得周边、零星分散资源探矿权和采矿权。在办理国家级绿色矿山、采用先进开采选冶技术矿山和矿产资源开发利用水平领先矿山开采方案审查、矿产资源储量评审备案事项时，可容缺受理审查。在《国家重点支持的高新技术领域》范</w:t>
      </w:r>
      <w:r>
        <w:rPr>
          <w:rFonts w:hint="eastAsia" w:ascii="仿宋" w:hAnsi="仿宋" w:eastAsia="仿宋" w:cs="仿宋"/>
          <w:b w:val="0"/>
          <w:bCs w:val="0"/>
          <w:spacing w:val="6"/>
          <w:sz w:val="32"/>
          <w:szCs w:val="32"/>
          <w:u w:val="none"/>
        </w:rPr>
        <w:t>围内，持续进行绿色矿山建设技术研究开发及成果转化的企业，</w:t>
      </w:r>
      <w:r>
        <w:rPr>
          <w:rFonts w:hint="eastAsia" w:ascii="仿宋" w:hAnsi="仿宋" w:eastAsia="仿宋" w:cs="仿宋"/>
          <w:b w:val="0"/>
          <w:bCs w:val="0"/>
          <w:sz w:val="32"/>
          <w:szCs w:val="32"/>
          <w:u w:val="none"/>
        </w:rPr>
        <w:t>符合高新技术企业税收优惠条件的，可依法减按15%税率征收企业所得税。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u w:val="none"/>
        </w:rPr>
      </w:pPr>
      <w:r>
        <w:rPr>
          <w:rFonts w:hint="eastAsia" w:ascii="黑体" w:hAnsi="黑体" w:eastAsia="黑体" w:cs="黑体"/>
          <w:b w:val="0"/>
          <w:bCs w:val="0"/>
          <w:sz w:val="32"/>
          <w:szCs w:val="32"/>
          <w:u w:val="none"/>
        </w:rPr>
        <w:t>三、</w:t>
      </w:r>
      <w:r>
        <w:rPr>
          <w:rFonts w:hint="eastAsia" w:ascii="黑体" w:hAnsi="黑体" w:eastAsia="黑体" w:cs="黑体"/>
          <w:b w:val="0"/>
          <w:bCs w:val="0"/>
          <w:sz w:val="32"/>
          <w:szCs w:val="32"/>
          <w:u w:val="none"/>
          <w:lang w:eastAsia="zh-CN"/>
        </w:rPr>
        <w:t>组织保障</w:t>
      </w:r>
    </w:p>
    <w:p>
      <w:pPr>
        <w:keepNext w:val="0"/>
        <w:keepLines w:val="0"/>
        <w:pageBreakBefore w:val="0"/>
        <w:widowControl w:val="0"/>
        <w:kinsoku/>
        <w:wordWrap/>
        <w:overflowPunct/>
        <w:topLinePunct/>
        <w:autoSpaceDE/>
        <w:autoSpaceDN/>
        <w:bidi w:val="0"/>
        <w:adjustRightInd/>
        <w:snapToGrid/>
        <w:spacing w:line="580" w:lineRule="exact"/>
        <w:ind w:firstLine="616" w:firstLineChars="200"/>
        <w:jc w:val="both"/>
        <w:textAlignment w:val="auto"/>
        <w:rPr>
          <w:rFonts w:hint="eastAsia" w:ascii="仿宋" w:hAnsi="仿宋" w:eastAsia="仿宋" w:cs="仿宋"/>
          <w:b w:val="0"/>
          <w:bCs w:val="0"/>
          <w:spacing w:val="-6"/>
          <w:sz w:val="32"/>
          <w:szCs w:val="32"/>
          <w:u w:val="none"/>
        </w:rPr>
      </w:pPr>
      <w:r>
        <w:rPr>
          <w:rFonts w:hint="eastAsia" w:ascii="仿宋" w:hAnsi="仿宋" w:eastAsia="仿宋" w:cs="仿宋"/>
          <w:b w:val="0"/>
          <w:bCs w:val="0"/>
          <w:spacing w:val="-6"/>
          <w:sz w:val="32"/>
          <w:szCs w:val="32"/>
          <w:u w:val="none"/>
        </w:rPr>
        <w:t>由自治区自然资源厅</w:t>
      </w:r>
      <w:r>
        <w:rPr>
          <w:rFonts w:hint="eastAsia" w:ascii="仿宋" w:hAnsi="仿宋" w:eastAsia="仿宋" w:cs="仿宋"/>
          <w:b w:val="0"/>
          <w:bCs w:val="0"/>
          <w:spacing w:val="-6"/>
          <w:sz w:val="32"/>
          <w:szCs w:val="32"/>
          <w:u w:val="none"/>
          <w:lang w:eastAsia="zh-CN"/>
        </w:rPr>
        <w:t>会同自治区</w:t>
      </w:r>
      <w:r>
        <w:rPr>
          <w:rFonts w:hint="eastAsia" w:ascii="仿宋" w:hAnsi="仿宋" w:eastAsia="仿宋" w:cs="仿宋"/>
          <w:spacing w:val="-6"/>
          <w:sz w:val="32"/>
          <w:szCs w:val="32"/>
          <w:u w:val="none"/>
        </w:rPr>
        <w:t>发展改革</w:t>
      </w:r>
      <w:r>
        <w:rPr>
          <w:rFonts w:hint="eastAsia" w:ascii="仿宋" w:hAnsi="仿宋" w:eastAsia="仿宋" w:cs="仿宋"/>
          <w:spacing w:val="-6"/>
          <w:sz w:val="32"/>
          <w:szCs w:val="32"/>
          <w:u w:val="none"/>
          <w:lang w:eastAsia="zh-CN"/>
        </w:rPr>
        <w:t>委、</w:t>
      </w:r>
      <w:r>
        <w:rPr>
          <w:rFonts w:hint="eastAsia" w:ascii="仿宋" w:hAnsi="仿宋" w:eastAsia="仿宋" w:cs="仿宋"/>
          <w:spacing w:val="-6"/>
          <w:sz w:val="32"/>
          <w:szCs w:val="32"/>
          <w:u w:val="none"/>
        </w:rPr>
        <w:t>工业和信息化</w:t>
      </w:r>
      <w:r>
        <w:rPr>
          <w:rFonts w:hint="eastAsia" w:ascii="仿宋" w:hAnsi="仿宋" w:eastAsia="仿宋" w:cs="仿宋"/>
          <w:spacing w:val="-6"/>
          <w:sz w:val="32"/>
          <w:szCs w:val="32"/>
          <w:u w:val="none"/>
          <w:lang w:eastAsia="zh-CN"/>
        </w:rPr>
        <w:t>厅、</w:t>
      </w:r>
      <w:r>
        <w:rPr>
          <w:rFonts w:hint="eastAsia" w:ascii="仿宋" w:hAnsi="仿宋" w:eastAsia="仿宋" w:cs="仿宋"/>
          <w:spacing w:val="-6"/>
          <w:sz w:val="32"/>
          <w:szCs w:val="32"/>
          <w:u w:val="none"/>
        </w:rPr>
        <w:t>财政</w:t>
      </w:r>
      <w:r>
        <w:rPr>
          <w:rFonts w:hint="eastAsia" w:ascii="仿宋" w:hAnsi="仿宋" w:eastAsia="仿宋" w:cs="仿宋"/>
          <w:spacing w:val="-6"/>
          <w:sz w:val="32"/>
          <w:szCs w:val="32"/>
          <w:u w:val="none"/>
          <w:lang w:eastAsia="zh-CN"/>
        </w:rPr>
        <w:t>厅、</w:t>
      </w:r>
      <w:r>
        <w:rPr>
          <w:rFonts w:hint="eastAsia" w:ascii="仿宋" w:hAnsi="仿宋" w:eastAsia="仿宋" w:cs="仿宋"/>
          <w:spacing w:val="-6"/>
          <w:sz w:val="32"/>
          <w:szCs w:val="32"/>
          <w:u w:val="none"/>
        </w:rPr>
        <w:t>生态环境</w:t>
      </w:r>
      <w:r>
        <w:rPr>
          <w:rFonts w:hint="eastAsia" w:ascii="仿宋" w:hAnsi="仿宋" w:eastAsia="仿宋" w:cs="仿宋"/>
          <w:spacing w:val="-6"/>
          <w:sz w:val="32"/>
          <w:szCs w:val="32"/>
          <w:u w:val="none"/>
          <w:lang w:eastAsia="zh-CN"/>
        </w:rPr>
        <w:t>厅、</w:t>
      </w:r>
      <w:r>
        <w:rPr>
          <w:rFonts w:hint="eastAsia" w:ascii="仿宋" w:hAnsi="仿宋" w:eastAsia="仿宋" w:cs="仿宋"/>
          <w:spacing w:val="-6"/>
          <w:sz w:val="32"/>
          <w:szCs w:val="32"/>
          <w:u w:val="none"/>
        </w:rPr>
        <w:t>水利</w:t>
      </w:r>
      <w:r>
        <w:rPr>
          <w:rFonts w:hint="eastAsia" w:ascii="仿宋" w:hAnsi="仿宋" w:eastAsia="仿宋" w:cs="仿宋"/>
          <w:spacing w:val="-6"/>
          <w:sz w:val="32"/>
          <w:szCs w:val="32"/>
          <w:u w:val="none"/>
          <w:lang w:eastAsia="zh-CN"/>
        </w:rPr>
        <w:t>厅、</w:t>
      </w:r>
      <w:r>
        <w:rPr>
          <w:rFonts w:hint="eastAsia" w:ascii="仿宋" w:hAnsi="仿宋" w:eastAsia="仿宋" w:cs="仿宋"/>
          <w:spacing w:val="-6"/>
          <w:sz w:val="32"/>
          <w:szCs w:val="32"/>
          <w:u w:val="none"/>
        </w:rPr>
        <w:t>应急管理</w:t>
      </w:r>
      <w:r>
        <w:rPr>
          <w:rFonts w:hint="eastAsia" w:ascii="仿宋" w:hAnsi="仿宋" w:eastAsia="仿宋" w:cs="仿宋"/>
          <w:spacing w:val="-6"/>
          <w:sz w:val="32"/>
          <w:szCs w:val="32"/>
          <w:u w:val="none"/>
          <w:lang w:eastAsia="zh-CN"/>
        </w:rPr>
        <w:t>厅、</w:t>
      </w:r>
      <w:r>
        <w:rPr>
          <w:rFonts w:hint="eastAsia" w:ascii="仿宋" w:hAnsi="仿宋" w:eastAsia="仿宋" w:cs="仿宋"/>
          <w:spacing w:val="-6"/>
          <w:sz w:val="32"/>
          <w:szCs w:val="32"/>
          <w:u w:val="none"/>
        </w:rPr>
        <w:t>市场监管</w:t>
      </w:r>
      <w:r>
        <w:rPr>
          <w:rFonts w:hint="eastAsia" w:ascii="仿宋" w:hAnsi="仿宋" w:eastAsia="仿宋" w:cs="仿宋"/>
          <w:spacing w:val="-6"/>
          <w:sz w:val="32"/>
          <w:szCs w:val="32"/>
          <w:u w:val="none"/>
          <w:lang w:eastAsia="zh-CN"/>
        </w:rPr>
        <w:t>局、</w:t>
      </w:r>
      <w:r>
        <w:rPr>
          <w:rFonts w:hint="eastAsia" w:ascii="仿宋" w:hAnsi="仿宋" w:eastAsia="仿宋" w:cs="仿宋"/>
          <w:spacing w:val="-6"/>
          <w:sz w:val="32"/>
          <w:szCs w:val="32"/>
          <w:u w:val="none"/>
        </w:rPr>
        <w:t>能源</w:t>
      </w:r>
      <w:r>
        <w:rPr>
          <w:rFonts w:hint="eastAsia" w:ascii="仿宋" w:hAnsi="仿宋" w:eastAsia="仿宋" w:cs="仿宋"/>
          <w:spacing w:val="-6"/>
          <w:sz w:val="32"/>
          <w:szCs w:val="32"/>
          <w:u w:val="none"/>
          <w:lang w:eastAsia="zh-CN"/>
        </w:rPr>
        <w:t>局、</w:t>
      </w:r>
      <w:r>
        <w:rPr>
          <w:rFonts w:hint="eastAsia" w:ascii="仿宋" w:hAnsi="仿宋" w:eastAsia="仿宋" w:cs="仿宋"/>
          <w:spacing w:val="-6"/>
          <w:sz w:val="32"/>
          <w:szCs w:val="32"/>
          <w:u w:val="none"/>
        </w:rPr>
        <w:t>林草</w:t>
      </w:r>
      <w:r>
        <w:rPr>
          <w:rFonts w:hint="eastAsia" w:ascii="仿宋" w:hAnsi="仿宋" w:eastAsia="仿宋" w:cs="仿宋"/>
          <w:spacing w:val="-6"/>
          <w:sz w:val="32"/>
          <w:szCs w:val="32"/>
          <w:u w:val="none"/>
          <w:lang w:eastAsia="zh-CN"/>
        </w:rPr>
        <w:t>局、政务服务与数据管理局、</w:t>
      </w:r>
      <w:r>
        <w:rPr>
          <w:rFonts w:hint="eastAsia" w:ascii="仿宋" w:hAnsi="仿宋" w:eastAsia="仿宋" w:cs="仿宋"/>
          <w:spacing w:val="-6"/>
          <w:sz w:val="32"/>
          <w:szCs w:val="32"/>
          <w:u w:val="none"/>
        </w:rPr>
        <w:t>矿山安全监管</w:t>
      </w:r>
      <w:r>
        <w:rPr>
          <w:rFonts w:hint="eastAsia" w:ascii="仿宋" w:hAnsi="仿宋" w:eastAsia="仿宋" w:cs="仿宋"/>
          <w:spacing w:val="-6"/>
          <w:sz w:val="32"/>
          <w:szCs w:val="32"/>
          <w:u w:val="none"/>
          <w:lang w:eastAsia="zh-CN"/>
        </w:rPr>
        <w:t>局和内蒙古</w:t>
      </w:r>
      <w:r>
        <w:rPr>
          <w:rFonts w:hint="eastAsia" w:ascii="仿宋" w:hAnsi="仿宋" w:eastAsia="仿宋" w:cs="仿宋"/>
          <w:spacing w:val="-6"/>
          <w:sz w:val="32"/>
          <w:szCs w:val="32"/>
          <w:u w:val="none"/>
        </w:rPr>
        <w:t>金融监管</w:t>
      </w:r>
      <w:r>
        <w:rPr>
          <w:rFonts w:hint="eastAsia" w:ascii="仿宋" w:hAnsi="仿宋" w:eastAsia="仿宋" w:cs="仿宋"/>
          <w:spacing w:val="-6"/>
          <w:sz w:val="32"/>
          <w:szCs w:val="32"/>
          <w:u w:val="none"/>
          <w:lang w:eastAsia="zh-CN"/>
        </w:rPr>
        <w:t>局、内蒙古</w:t>
      </w:r>
      <w:r>
        <w:rPr>
          <w:rFonts w:hint="eastAsia" w:ascii="仿宋" w:hAnsi="仿宋" w:eastAsia="仿宋" w:cs="仿宋"/>
          <w:spacing w:val="-6"/>
          <w:sz w:val="32"/>
          <w:szCs w:val="32"/>
          <w:u w:val="none"/>
        </w:rPr>
        <w:t>税务</w:t>
      </w:r>
      <w:r>
        <w:rPr>
          <w:rFonts w:hint="eastAsia" w:ascii="仿宋" w:hAnsi="仿宋" w:eastAsia="仿宋" w:cs="仿宋"/>
          <w:spacing w:val="-6"/>
          <w:sz w:val="32"/>
          <w:szCs w:val="32"/>
          <w:u w:val="none"/>
          <w:lang w:eastAsia="zh-CN"/>
        </w:rPr>
        <w:t>局</w:t>
      </w:r>
      <w:r>
        <w:rPr>
          <w:rFonts w:hint="eastAsia" w:ascii="仿宋" w:hAnsi="仿宋" w:eastAsia="仿宋" w:cs="仿宋"/>
          <w:b w:val="0"/>
          <w:bCs w:val="0"/>
          <w:spacing w:val="-6"/>
          <w:sz w:val="32"/>
          <w:szCs w:val="32"/>
          <w:u w:val="none"/>
        </w:rPr>
        <w:t>建立自治区绿色矿山建设协调机制</w:t>
      </w:r>
      <w:r>
        <w:rPr>
          <w:rFonts w:hint="eastAsia" w:ascii="仿宋" w:hAnsi="仿宋" w:eastAsia="仿宋" w:cs="仿宋"/>
          <w:b w:val="0"/>
          <w:bCs w:val="0"/>
          <w:spacing w:val="-6"/>
          <w:sz w:val="32"/>
          <w:szCs w:val="32"/>
          <w:u w:val="none"/>
          <w:lang w:eastAsia="zh-CN"/>
        </w:rPr>
        <w:t>（以下简称协调机制）</w:t>
      </w:r>
      <w:r>
        <w:rPr>
          <w:rFonts w:hint="eastAsia" w:ascii="仿宋" w:hAnsi="仿宋" w:eastAsia="仿宋" w:cs="仿宋"/>
          <w:b w:val="0"/>
          <w:bCs w:val="0"/>
          <w:spacing w:val="-6"/>
          <w:sz w:val="32"/>
          <w:szCs w:val="32"/>
          <w:u w:val="none"/>
        </w:rPr>
        <w:t>，负责</w:t>
      </w:r>
      <w:r>
        <w:rPr>
          <w:rFonts w:hint="eastAsia" w:ascii="仿宋" w:hAnsi="仿宋" w:eastAsia="仿宋" w:cs="仿宋"/>
          <w:b w:val="0"/>
          <w:bCs w:val="0"/>
          <w:spacing w:val="-6"/>
          <w:sz w:val="32"/>
          <w:szCs w:val="32"/>
          <w:u w:val="none"/>
          <w:lang w:eastAsia="zh-CN"/>
        </w:rPr>
        <w:t>研究</w:t>
      </w:r>
      <w:r>
        <w:rPr>
          <w:rFonts w:hint="eastAsia" w:ascii="仿宋" w:hAnsi="仿宋" w:eastAsia="仿宋" w:cs="仿宋"/>
          <w:b w:val="0"/>
          <w:bCs w:val="0"/>
          <w:spacing w:val="-6"/>
          <w:sz w:val="32"/>
          <w:szCs w:val="32"/>
          <w:u w:val="none"/>
        </w:rPr>
        <w:t>审议自治区绿色矿山支持政策、绿色矿山专家库管理办法、绿色矿山年度工作目标、名录移入移出等重大事项和重大问题。协调机制办公室设在自治区自然资源厅，负责牵头组织召开协调机制工作会议，组织有关成员单位开展绿色矿山申报资料核查、实地抽查、绿色矿山名录日常管理、发布公告等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u w:val="none"/>
        </w:rPr>
      </w:pPr>
      <w:r>
        <w:rPr>
          <w:rFonts w:hint="eastAsia" w:ascii="黑体" w:hAnsi="黑体" w:eastAsia="黑体" w:cs="黑体"/>
          <w:b w:val="0"/>
          <w:bCs w:val="0"/>
          <w:sz w:val="32"/>
          <w:szCs w:val="32"/>
          <w:u w:val="none"/>
          <w:lang w:eastAsia="zh-CN"/>
        </w:rPr>
        <w:t>四、工作要求</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u w:val="none"/>
        </w:rPr>
      </w:pPr>
      <w:r>
        <w:rPr>
          <w:rFonts w:hint="eastAsia" w:ascii="仿宋" w:hAnsi="仿宋" w:eastAsia="仿宋" w:cs="仿宋"/>
          <w:b w:val="0"/>
          <w:bCs w:val="0"/>
          <w:sz w:val="32"/>
          <w:szCs w:val="32"/>
          <w:u w:val="none"/>
        </w:rPr>
        <w:t>旗县级以上人民政府要加大督导力度，对尚未开展绿色矿山创建的大、中型生产矿山，督促尽快开展绿色矿山建设。按照“谁审批、谁负责”、“谁主管、谁监管”的原则，各级有关主管部门根据</w:t>
      </w:r>
      <w:r>
        <w:rPr>
          <w:rFonts w:hint="eastAsia" w:ascii="仿宋" w:hAnsi="仿宋" w:eastAsia="仿宋" w:cs="仿宋"/>
          <w:b w:val="0"/>
          <w:bCs w:val="0"/>
          <w:sz w:val="32"/>
          <w:szCs w:val="32"/>
          <w:u w:val="none"/>
          <w:lang w:eastAsia="zh-CN"/>
        </w:rPr>
        <w:t>职责</w:t>
      </w:r>
      <w:r>
        <w:rPr>
          <w:rFonts w:hint="eastAsia" w:ascii="仿宋" w:hAnsi="仿宋" w:eastAsia="仿宋" w:cs="仿宋"/>
          <w:b w:val="0"/>
          <w:bCs w:val="0"/>
          <w:sz w:val="32"/>
          <w:szCs w:val="32"/>
          <w:u w:val="none"/>
        </w:rPr>
        <w:t>分工（详见附件3）督促指导绿色矿山建设</w:t>
      </w:r>
      <w:r>
        <w:rPr>
          <w:rFonts w:hint="eastAsia" w:ascii="仿宋" w:hAnsi="仿宋" w:eastAsia="仿宋" w:cs="仿宋"/>
          <w:b w:val="0"/>
          <w:bCs w:val="0"/>
          <w:sz w:val="32"/>
          <w:szCs w:val="32"/>
          <w:u w:val="none"/>
          <w:lang w:eastAsia="zh-CN"/>
        </w:rPr>
        <w:t>工作；要</w:t>
      </w:r>
      <w:r>
        <w:rPr>
          <w:rFonts w:hint="eastAsia" w:ascii="仿宋" w:hAnsi="仿宋" w:eastAsia="仿宋" w:cs="仿宋"/>
          <w:b w:val="0"/>
          <w:bCs w:val="0"/>
          <w:sz w:val="32"/>
          <w:szCs w:val="32"/>
          <w:u w:val="none"/>
        </w:rPr>
        <w:t>加强对现有绿色矿山的日常监督管理，严格落实“双随机、一公开”要求，每年按比例对在库绿色矿山开展随机抽查</w:t>
      </w:r>
      <w:r>
        <w:rPr>
          <w:rFonts w:hint="eastAsia" w:ascii="仿宋" w:hAnsi="仿宋" w:eastAsia="仿宋" w:cs="仿宋"/>
          <w:b w:val="0"/>
          <w:bCs w:val="0"/>
          <w:sz w:val="32"/>
          <w:szCs w:val="32"/>
          <w:u w:val="none"/>
          <w:lang w:eastAsia="zh-CN"/>
        </w:rPr>
        <w:t>；要合力</w:t>
      </w:r>
      <w:r>
        <w:rPr>
          <w:rFonts w:hint="eastAsia" w:ascii="仿宋" w:hAnsi="仿宋" w:eastAsia="仿宋" w:cs="仿宋"/>
          <w:b w:val="0"/>
          <w:bCs w:val="0"/>
          <w:sz w:val="32"/>
          <w:szCs w:val="32"/>
          <w:u w:val="none"/>
        </w:rPr>
        <w:t>做好绿色矿山初审、评估、核查和日常动态监管工作，及时通报相关信息。对存在问题未按规定期限完成整改的</w:t>
      </w:r>
      <w:r>
        <w:rPr>
          <w:rFonts w:hint="eastAsia" w:ascii="仿宋" w:hAnsi="仿宋" w:eastAsia="仿宋" w:cs="仿宋"/>
          <w:b w:val="0"/>
          <w:bCs w:val="0"/>
          <w:sz w:val="32"/>
          <w:szCs w:val="32"/>
          <w:u w:val="none"/>
          <w:lang w:eastAsia="zh-CN"/>
        </w:rPr>
        <w:t>绿色矿山</w:t>
      </w:r>
      <w:r>
        <w:rPr>
          <w:rFonts w:hint="eastAsia" w:ascii="仿宋" w:hAnsi="仿宋" w:eastAsia="仿宋" w:cs="仿宋"/>
          <w:b w:val="0"/>
          <w:bCs w:val="0"/>
          <w:sz w:val="32"/>
          <w:szCs w:val="32"/>
          <w:u w:val="none"/>
        </w:rPr>
        <w:t>，经盟市自然资源局会同有关主管部门审核确认后申请移出绿色矿山名录。</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本通知自印发之日起</w:t>
      </w:r>
      <w:r>
        <w:rPr>
          <w:rFonts w:hint="eastAsia" w:ascii="仿宋" w:hAnsi="仿宋" w:eastAsia="仿宋" w:cs="仿宋"/>
          <w:b w:val="0"/>
          <w:bCs w:val="0"/>
          <w:sz w:val="32"/>
          <w:szCs w:val="32"/>
          <w:lang w:eastAsia="zh-CN"/>
        </w:rPr>
        <w:t>施行</w:t>
      </w:r>
      <w:r>
        <w:rPr>
          <w:rFonts w:hint="eastAsia" w:ascii="仿宋" w:hAnsi="仿宋" w:eastAsia="仿宋" w:cs="仿宋"/>
          <w:b w:val="0"/>
          <w:bCs w:val="0"/>
          <w:sz w:val="32"/>
          <w:szCs w:val="32"/>
        </w:rPr>
        <w:t>，有效期五年。</w:t>
      </w:r>
      <w:r>
        <w:rPr>
          <w:rFonts w:hint="eastAsia" w:ascii="仿宋" w:hAnsi="仿宋" w:eastAsia="仿宋" w:cs="仿宋"/>
          <w:b w:val="0"/>
          <w:bCs w:val="0"/>
          <w:sz w:val="32"/>
          <w:szCs w:val="32"/>
          <w:lang w:eastAsia="zh-CN"/>
        </w:rPr>
        <w:t>《内蒙古自治区人民政府办公厅关于持续推进绿色矿山建设的通知》（内政办发〔2024〕13号）同时废止，自治区此</w:t>
      </w:r>
      <w:r>
        <w:rPr>
          <w:rFonts w:hint="eastAsia" w:ascii="仿宋" w:hAnsi="仿宋" w:eastAsia="仿宋" w:cs="仿宋"/>
          <w:b w:val="0"/>
          <w:bCs w:val="0"/>
          <w:sz w:val="32"/>
          <w:szCs w:val="32"/>
        </w:rPr>
        <w:t>前</w:t>
      </w:r>
      <w:r>
        <w:rPr>
          <w:rFonts w:hint="eastAsia" w:ascii="仿宋" w:hAnsi="仿宋" w:eastAsia="仿宋" w:cs="仿宋"/>
          <w:b w:val="0"/>
          <w:bCs w:val="0"/>
          <w:sz w:val="32"/>
          <w:szCs w:val="32"/>
          <w:lang w:eastAsia="zh-CN"/>
        </w:rPr>
        <w:t>其他规定</w:t>
      </w:r>
      <w:r>
        <w:rPr>
          <w:rFonts w:hint="eastAsia" w:ascii="仿宋" w:hAnsi="仿宋" w:eastAsia="仿宋" w:cs="仿宋"/>
          <w:b w:val="0"/>
          <w:bCs w:val="0"/>
          <w:sz w:val="32"/>
          <w:szCs w:val="32"/>
        </w:rPr>
        <w:t>与本通知不一致的，按照本通知</w:t>
      </w:r>
      <w:r>
        <w:rPr>
          <w:rFonts w:hint="eastAsia" w:ascii="仿宋" w:hAnsi="仿宋" w:eastAsia="仿宋" w:cs="仿宋"/>
          <w:b w:val="0"/>
          <w:bCs w:val="0"/>
          <w:sz w:val="32"/>
          <w:szCs w:val="32"/>
          <w:lang w:eastAsia="zh-CN"/>
        </w:rPr>
        <w:t>规定</w:t>
      </w:r>
      <w:r>
        <w:rPr>
          <w:rFonts w:hint="eastAsia" w:ascii="仿宋" w:hAnsi="仿宋" w:eastAsia="仿宋" w:cs="仿宋"/>
          <w:b w:val="0"/>
          <w:bCs w:val="0"/>
          <w:sz w:val="32"/>
          <w:szCs w:val="32"/>
        </w:rPr>
        <w:t>执行。</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附件：1.内蒙古自治区绿色矿山建设评价指标</w:t>
      </w:r>
    </w:p>
    <w:p>
      <w:pPr>
        <w:keepNext w:val="0"/>
        <w:keepLines w:val="0"/>
        <w:pageBreakBefore w:val="0"/>
        <w:widowControl w:val="0"/>
        <w:kinsoku/>
        <w:wordWrap/>
        <w:overflowPunct/>
        <w:topLinePunct/>
        <w:autoSpaceDE/>
        <w:autoSpaceDN/>
        <w:bidi w:val="0"/>
        <w:adjustRightInd/>
        <w:snapToGrid/>
        <w:spacing w:line="580" w:lineRule="exact"/>
        <w:ind w:firstLine="1600" w:firstLineChars="5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2.内蒙古自治区绿色矿山申报评估遴选及动态管理</w:t>
      </w:r>
    </w:p>
    <w:p>
      <w:pPr>
        <w:keepNext w:val="0"/>
        <w:keepLines w:val="0"/>
        <w:pageBreakBefore w:val="0"/>
        <w:widowControl w:val="0"/>
        <w:kinsoku/>
        <w:wordWrap/>
        <w:overflowPunct/>
        <w:topLinePunct/>
        <w:autoSpaceDE/>
        <w:autoSpaceDN/>
        <w:bidi w:val="0"/>
        <w:adjustRightInd/>
        <w:snapToGrid/>
        <w:spacing w:line="580" w:lineRule="exact"/>
        <w:ind w:firstLine="1920" w:firstLineChars="6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要求</w:t>
      </w:r>
    </w:p>
    <w:p>
      <w:pPr>
        <w:keepNext w:val="0"/>
        <w:keepLines w:val="0"/>
        <w:pageBreakBefore w:val="0"/>
        <w:widowControl w:val="0"/>
        <w:numPr>
          <w:ilvl w:val="0"/>
          <w:numId w:val="0"/>
        </w:numPr>
        <w:tabs>
          <w:tab w:val="left" w:pos="312"/>
        </w:tabs>
        <w:kinsoku/>
        <w:wordWrap/>
        <w:overflowPunct/>
        <w:topLinePunct/>
        <w:autoSpaceDE/>
        <w:autoSpaceDN/>
        <w:bidi w:val="0"/>
        <w:adjustRightInd/>
        <w:snapToGrid/>
        <w:spacing w:line="580" w:lineRule="exact"/>
        <w:ind w:firstLine="1600" w:firstLineChars="5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rPr>
        <w:t>各有关部门推进绿色矿山建设</w:t>
      </w:r>
      <w:r>
        <w:rPr>
          <w:rFonts w:hint="eastAsia" w:ascii="仿宋" w:hAnsi="仿宋" w:eastAsia="仿宋" w:cs="仿宋"/>
          <w:b w:val="0"/>
          <w:bCs w:val="0"/>
          <w:sz w:val="32"/>
          <w:szCs w:val="32"/>
          <w:lang w:eastAsia="zh-CN"/>
        </w:rPr>
        <w:t>职责</w:t>
      </w:r>
      <w:r>
        <w:rPr>
          <w:rFonts w:hint="eastAsia" w:ascii="仿宋" w:hAnsi="仿宋" w:eastAsia="仿宋" w:cs="仿宋"/>
          <w:b w:val="0"/>
          <w:bCs w:val="0"/>
          <w:sz w:val="32"/>
          <w:szCs w:val="32"/>
        </w:rPr>
        <w:t>分工</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rPr>
      </w:pPr>
    </w:p>
    <w:p>
      <w:pPr>
        <w:keepNext w:val="0"/>
        <w:keepLines w:val="0"/>
        <w:pageBreakBefore w:val="0"/>
        <w:widowControl w:val="0"/>
        <w:numPr>
          <w:ilvl w:val="0"/>
          <w:numId w:val="0"/>
        </w:numPr>
        <w:kinsoku/>
        <w:wordWrap/>
        <w:overflowPunct/>
        <w:topLinePunct/>
        <w:autoSpaceDE/>
        <w:autoSpaceDN/>
        <w:bidi w:val="0"/>
        <w:adjustRightInd/>
        <w:snapToGrid/>
        <w:spacing w:line="58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2025年6月11日</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firstLine="64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（此件公开发布）</w:t>
      </w:r>
    </w:p>
    <w:bookmarkEnd w:id="2"/>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4" name="图片 22" descr="内政办发24号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内政办发24号_页面_01"/>
                    <pic:cNvPicPr>
                      <a:picLocks noChangeAspect="1"/>
                    </pic:cNvPicPr>
                  </pic:nvPicPr>
                  <pic:blipFill>
                    <a:blip r:embed="rId8"/>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5" name="图片 21" descr="内政办发24号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内政办发24号_页面_02"/>
                    <pic:cNvPicPr>
                      <a:picLocks noChangeAspect="1"/>
                    </pic:cNvPicPr>
                  </pic:nvPicPr>
                  <pic:blipFill>
                    <a:blip r:embed="rId9"/>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6" name="图片 20" descr="内政办发24号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内政办发24号_页面_03"/>
                    <pic:cNvPicPr>
                      <a:picLocks noChangeAspect="1"/>
                    </pic:cNvPicPr>
                  </pic:nvPicPr>
                  <pic:blipFill>
                    <a:blip r:embed="rId10"/>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7" name="图片 19" descr="内政办发24号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内政办发24号_页面_04"/>
                    <pic:cNvPicPr>
                      <a:picLocks noChangeAspect="1"/>
                    </pic:cNvPicPr>
                  </pic:nvPicPr>
                  <pic:blipFill>
                    <a:blip r:embed="rId11"/>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8" name="图片 18" descr="内政办发24号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内政办发24号_页面_05"/>
                    <pic:cNvPicPr>
                      <a:picLocks noChangeAspect="1"/>
                    </pic:cNvPicPr>
                  </pic:nvPicPr>
                  <pic:blipFill>
                    <a:blip r:embed="rId12"/>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9" name="图片 17" descr="内政办发24号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内政办发24号_页面_06"/>
                    <pic:cNvPicPr>
                      <a:picLocks noChangeAspect="1"/>
                    </pic:cNvPicPr>
                  </pic:nvPicPr>
                  <pic:blipFill>
                    <a:blip r:embed="rId13"/>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10" name="图片 16" descr="内政办发24号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内政办发24号_页面_07"/>
                    <pic:cNvPicPr>
                      <a:picLocks noChangeAspect="1"/>
                    </pic:cNvPicPr>
                  </pic:nvPicPr>
                  <pic:blipFill>
                    <a:blip r:embed="rId14"/>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11" name="图片 15" descr="内政办发24号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内政办发24号_页面_08"/>
                    <pic:cNvPicPr>
                      <a:picLocks noChangeAspect="1"/>
                    </pic:cNvPicPr>
                  </pic:nvPicPr>
                  <pic:blipFill>
                    <a:blip r:embed="rId15"/>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12" name="图片 14" descr="内政办发24号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内政办发24号_页面_09"/>
                    <pic:cNvPicPr>
                      <a:picLocks noChangeAspect="1"/>
                    </pic:cNvPicPr>
                  </pic:nvPicPr>
                  <pic:blipFill>
                    <a:blip r:embed="rId16"/>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13" name="图片 13" descr="内政办发24号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内政办发24号_页面_10"/>
                    <pic:cNvPicPr>
                      <a:picLocks noChangeAspect="1"/>
                    </pic:cNvPicPr>
                  </pic:nvPicPr>
                  <pic:blipFill>
                    <a:blip r:embed="rId17"/>
                    <a:stretch>
                      <a:fillRect/>
                    </a:stretch>
                  </pic:blipFill>
                  <pic:spPr>
                    <a:xfrm>
                      <a:off x="0" y="0"/>
                      <a:ext cx="5684520" cy="8222615"/>
                    </a:xfrm>
                    <a:prstGeom prst="rect">
                      <a:avLst/>
                    </a:prstGeom>
                    <a:noFill/>
                    <a:ln>
                      <a:noFill/>
                    </a:ln>
                  </pic:spPr>
                </pic:pic>
              </a:graphicData>
            </a:graphic>
          </wp:inline>
        </w:drawing>
      </w:r>
      <w:r>
        <w:rPr>
          <w:rFonts w:hint="eastAsia" w:ascii="方正小标宋简体" w:hAnsi="方正小标宋简体" w:eastAsia="方正小标宋简体" w:cs="方正小标宋简体"/>
          <w:b w:val="0"/>
          <w:bCs/>
          <w:sz w:val="44"/>
          <w:szCs w:val="44"/>
          <w:lang w:eastAsia="zh-CN"/>
        </w:rPr>
        <w:drawing>
          <wp:inline distT="0" distB="0" distL="114300" distR="114300">
            <wp:extent cx="5684520" cy="8222615"/>
            <wp:effectExtent l="0" t="0" r="11430" b="6985"/>
            <wp:docPr id="14" name="图片 12" descr="内政办发24号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内政办发24号_页面_11"/>
                    <pic:cNvPicPr>
                      <a:picLocks noChangeAspect="1"/>
                    </pic:cNvPicPr>
                  </pic:nvPicPr>
                  <pic:blipFill>
                    <a:blip r:embed="rId18"/>
                    <a:stretch>
                      <a:fillRect/>
                    </a:stretch>
                  </pic:blipFill>
                  <pic:spPr>
                    <a:xfrm>
                      <a:off x="0" y="0"/>
                      <a:ext cx="5684520" cy="8222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说</w:t>
      </w:r>
      <w:r>
        <w:rPr>
          <w:rFonts w:hint="eastAsia" w:ascii="方正小标宋简体" w:hAnsi="方正小标宋简体" w:eastAsia="方正小标宋简体" w:cs="方正小标宋简体"/>
          <w:b w:val="0"/>
          <w:bCs/>
          <w:sz w:val="44"/>
          <w:szCs w:val="44"/>
          <w:lang w:val="en-US" w:eastAsia="zh-CN"/>
        </w:rPr>
        <w:t xml:space="preserve">    </w:t>
      </w:r>
      <w:r>
        <w:rPr>
          <w:rFonts w:hint="eastAsia" w:ascii="方正小标宋简体" w:hAnsi="方正小标宋简体" w:eastAsia="方正小标宋简体" w:cs="方正小标宋简体"/>
          <w:b w:val="0"/>
          <w:bCs/>
          <w:sz w:val="44"/>
          <w:szCs w:val="44"/>
        </w:rPr>
        <w:t>明</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sz w:val="28"/>
          <w:szCs w:val="28"/>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《内蒙古自治区绿色矿山建设评价指标》包含先决条件和评分表两部分。先决条件属于否决项，有一项达不到要求，则不能参与绿色矿山遴选工作。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一、计分办法与达标说明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（一）评价指标共50项，分约束性指标、</w:t>
      </w:r>
      <w:r>
        <w:rPr>
          <w:rFonts w:hint="eastAsia" w:ascii="仿宋" w:hAnsi="仿宋" w:eastAsia="仿宋" w:cs="仿宋"/>
          <w:spacing w:val="6"/>
          <w:sz w:val="32"/>
          <w:szCs w:val="32"/>
          <w:u w:val="none"/>
        </w:rPr>
        <w:t>提升性指标两类，</w:t>
      </w:r>
      <w:r>
        <w:rPr>
          <w:rFonts w:hint="eastAsia" w:ascii="仿宋" w:hAnsi="仿宋" w:eastAsia="仿宋" w:cs="仿宋"/>
          <w:sz w:val="32"/>
          <w:szCs w:val="32"/>
          <w:u w:val="none"/>
        </w:rPr>
        <w:t>分别从矿区环境、资源开采、资源综合利用、绿色低碳、生态修复与环境治理、科技创新与规范管理六个方面对绿色矿山建设水平进行评分。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pacing w:val="6"/>
          <w:sz w:val="32"/>
          <w:szCs w:val="32"/>
          <w:u w:val="none"/>
        </w:rPr>
      </w:pPr>
      <w:r>
        <w:rPr>
          <w:rFonts w:hint="eastAsia" w:ascii="仿宋" w:hAnsi="仿宋" w:eastAsia="仿宋" w:cs="仿宋"/>
          <w:sz w:val="32"/>
          <w:szCs w:val="32"/>
          <w:u w:val="none"/>
        </w:rPr>
        <w:t>（二）</w:t>
      </w:r>
      <w:r>
        <w:rPr>
          <w:rFonts w:hint="eastAsia" w:ascii="仿宋" w:hAnsi="仿宋" w:eastAsia="仿宋" w:cs="仿宋"/>
          <w:spacing w:val="6"/>
          <w:sz w:val="32"/>
          <w:szCs w:val="32"/>
          <w:u w:val="none"/>
        </w:rPr>
        <w:t>约束性指标共20项，</w:t>
      </w:r>
      <w:r>
        <w:rPr>
          <w:rFonts w:hint="eastAsia" w:ascii="仿宋" w:hAnsi="仿宋" w:eastAsia="仿宋" w:cs="仿宋"/>
          <w:spacing w:val="11"/>
          <w:sz w:val="32"/>
          <w:szCs w:val="32"/>
          <w:u w:val="none"/>
        </w:rPr>
        <w:t>所有约束性指标必须得满分，若一项不得满分则不达标。提升性指标30项，体现差异性，</w:t>
      </w:r>
      <w:r>
        <w:rPr>
          <w:rFonts w:hint="eastAsia" w:ascii="仿宋" w:hAnsi="仿宋" w:eastAsia="仿宋" w:cs="仿宋"/>
          <w:spacing w:val="6"/>
          <w:sz w:val="32"/>
          <w:szCs w:val="32"/>
          <w:u w:val="none"/>
        </w:rPr>
        <w:t>按评分表内的评分说明进行评分。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（三）不涉及项计分。经判定某项指标属于不涉及项的，按大类采用折合法计分。不涉及项要在评分表中明确说明判定依据和理由。</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（四）评价指标总分100分，总得分原则上不低于60分。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二、评分说明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（一）</w:t>
      </w:r>
      <w:r>
        <w:rPr>
          <w:rFonts w:hint="eastAsia" w:ascii="仿宋" w:hAnsi="仿宋" w:eastAsia="仿宋" w:cs="仿宋"/>
          <w:spacing w:val="-6"/>
          <w:sz w:val="32"/>
          <w:szCs w:val="32"/>
          <w:u w:val="none"/>
        </w:rPr>
        <w:t>某一指标评分说明中属于扣分的，最多扣完该项分值。</w:t>
      </w:r>
      <w:r>
        <w:rPr>
          <w:rFonts w:hint="eastAsia" w:ascii="仿宋" w:hAnsi="仿宋" w:eastAsia="仿宋" w:cs="仿宋"/>
          <w:sz w:val="32"/>
          <w:szCs w:val="32"/>
          <w:u w:val="none"/>
        </w:rPr>
        <w:t>某一指标评分说明里属于增分的，最多增至该项总分。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（二）所有得分必须有依据并要保留证明材料，在“检查记录”栏里写明得到相应分值的原因，缺少支撑材料或证明材料不得分。如需填写内容较多，可在评估报告中重点描述。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（三）对于集中建设的选矿加工等配套系统，应明确关联关系，可统一纳入评估考虑。</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（四）对于调查走访、现场考核、专家打分取平均值等评估方式，需要在“检查记录”说明里进行详细描述。</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（五）需要现场查看的内容，在“检查记录”里应写明哪些</w:t>
      </w:r>
      <w:r>
        <w:rPr>
          <w:rFonts w:hint="eastAsia" w:ascii="仿宋" w:hAnsi="仿宋" w:eastAsia="仿宋" w:cs="仿宋"/>
          <w:spacing w:val="6"/>
          <w:sz w:val="32"/>
          <w:szCs w:val="32"/>
          <w:u w:val="none"/>
        </w:rPr>
        <w:t>工作人员到什么现场看了什么内容（设备、设施、厂地、环境、</w:t>
      </w:r>
      <w:r>
        <w:rPr>
          <w:rFonts w:hint="eastAsia" w:ascii="仿宋" w:hAnsi="仿宋" w:eastAsia="仿宋" w:cs="仿宋"/>
          <w:sz w:val="32"/>
          <w:szCs w:val="32"/>
          <w:u w:val="none"/>
        </w:rPr>
        <w:t>现场等）。</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三、评价指标部门分工说明</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bCs/>
          <w:spacing w:val="-6"/>
          <w:sz w:val="32"/>
          <w:szCs w:val="32"/>
          <w:u w:val="none"/>
        </w:rPr>
      </w:pPr>
      <w:r>
        <w:rPr>
          <w:rFonts w:hint="eastAsia" w:ascii="仿宋" w:hAnsi="仿宋" w:eastAsia="仿宋" w:cs="仿宋"/>
          <w:bCs/>
          <w:sz w:val="32"/>
          <w:szCs w:val="32"/>
          <w:u w:val="none"/>
        </w:rPr>
        <w:t>评价指标的分工部门排序不分前后，按照各自职能职责和</w:t>
      </w:r>
      <w:r>
        <w:rPr>
          <w:rFonts w:hint="eastAsia" w:ascii="仿宋" w:hAnsi="仿宋" w:eastAsia="仿宋" w:cs="仿宋"/>
          <w:bCs/>
          <w:sz w:val="32"/>
          <w:szCs w:val="32"/>
          <w:u w:val="none"/>
          <w:lang w:eastAsia="zh-CN"/>
        </w:rPr>
        <w:t>《内蒙古自治区人民政府办公厅关于进一步加强绿色矿山建设的通知》（内政办发〔2025〕24号）的</w:t>
      </w:r>
      <w:r>
        <w:rPr>
          <w:rFonts w:hint="eastAsia" w:ascii="仿宋" w:hAnsi="仿宋" w:eastAsia="仿宋" w:cs="仿宋"/>
          <w:bCs/>
          <w:sz w:val="32"/>
          <w:szCs w:val="32"/>
          <w:u w:val="none"/>
        </w:rPr>
        <w:t>附件3</w:t>
      </w:r>
      <w:r>
        <w:rPr>
          <w:rFonts w:hint="eastAsia" w:ascii="仿宋" w:hAnsi="仿宋" w:eastAsia="仿宋" w:cs="仿宋"/>
          <w:bCs/>
          <w:sz w:val="32"/>
          <w:szCs w:val="32"/>
          <w:u w:val="none"/>
          <w:lang w:eastAsia="zh-CN"/>
        </w:rPr>
        <w:t>—《</w:t>
      </w:r>
      <w:r>
        <w:rPr>
          <w:rFonts w:hint="eastAsia" w:ascii="仿宋" w:hAnsi="仿宋" w:eastAsia="仿宋" w:cs="仿宋"/>
          <w:bCs/>
          <w:sz w:val="32"/>
          <w:szCs w:val="32"/>
          <w:u w:val="none"/>
        </w:rPr>
        <w:t>各有关部门推进</w:t>
      </w:r>
      <w:r>
        <w:rPr>
          <w:rFonts w:hint="eastAsia" w:ascii="仿宋" w:hAnsi="仿宋" w:eastAsia="仿宋" w:cs="仿宋"/>
          <w:bCs/>
          <w:spacing w:val="-6"/>
          <w:sz w:val="32"/>
          <w:szCs w:val="32"/>
          <w:u w:val="none"/>
        </w:rPr>
        <w:t>绿色矿山建设</w:t>
      </w:r>
      <w:r>
        <w:rPr>
          <w:rFonts w:hint="eastAsia" w:ascii="仿宋" w:hAnsi="仿宋" w:eastAsia="仿宋" w:cs="仿宋"/>
          <w:bCs/>
          <w:spacing w:val="-6"/>
          <w:sz w:val="32"/>
          <w:szCs w:val="32"/>
          <w:u w:val="none"/>
          <w:lang w:eastAsia="zh-CN"/>
        </w:rPr>
        <w:t>职责</w:t>
      </w:r>
      <w:r>
        <w:rPr>
          <w:rFonts w:hint="eastAsia" w:ascii="仿宋" w:hAnsi="仿宋" w:eastAsia="仿宋" w:cs="仿宋"/>
          <w:bCs/>
          <w:spacing w:val="-6"/>
          <w:sz w:val="32"/>
          <w:szCs w:val="32"/>
          <w:u w:val="none"/>
        </w:rPr>
        <w:t>分工</w:t>
      </w:r>
      <w:r>
        <w:rPr>
          <w:rFonts w:hint="eastAsia" w:ascii="仿宋" w:hAnsi="仿宋" w:eastAsia="仿宋" w:cs="仿宋"/>
          <w:bCs/>
          <w:spacing w:val="-6"/>
          <w:sz w:val="32"/>
          <w:szCs w:val="32"/>
          <w:u w:val="none"/>
          <w:lang w:eastAsia="zh-CN"/>
        </w:rPr>
        <w:t>》</w:t>
      </w:r>
      <w:r>
        <w:rPr>
          <w:rFonts w:hint="eastAsia" w:ascii="仿宋" w:hAnsi="仿宋" w:eastAsia="仿宋" w:cs="仿宋"/>
          <w:bCs/>
          <w:spacing w:val="-6"/>
          <w:sz w:val="32"/>
          <w:szCs w:val="32"/>
          <w:u w:val="none"/>
        </w:rPr>
        <w:t>开展工作。在绿色矿山评估、核查等工作中主要由绿色矿山</w:t>
      </w:r>
      <w:r>
        <w:rPr>
          <w:rFonts w:hint="eastAsia" w:ascii="仿宋" w:hAnsi="仿宋" w:eastAsia="仿宋" w:cs="仿宋"/>
          <w:bCs/>
          <w:color w:val="000000"/>
          <w:spacing w:val="-6"/>
          <w:sz w:val="32"/>
          <w:szCs w:val="32"/>
          <w:u w:val="none"/>
        </w:rPr>
        <w:t>专家库中的</w:t>
      </w:r>
      <w:r>
        <w:rPr>
          <w:rFonts w:hint="eastAsia" w:ascii="仿宋" w:hAnsi="仿宋" w:eastAsia="仿宋" w:cs="仿宋"/>
          <w:bCs/>
          <w:spacing w:val="-6"/>
          <w:sz w:val="32"/>
          <w:szCs w:val="32"/>
          <w:u w:val="none"/>
        </w:rPr>
        <w:t>有关行业领域</w:t>
      </w:r>
      <w:r>
        <w:rPr>
          <w:rFonts w:hint="eastAsia" w:ascii="仿宋" w:hAnsi="仿宋" w:eastAsia="仿宋" w:cs="仿宋"/>
          <w:bCs/>
          <w:color w:val="000000"/>
          <w:spacing w:val="-6"/>
          <w:sz w:val="32"/>
          <w:szCs w:val="32"/>
          <w:u w:val="none"/>
        </w:rPr>
        <w:t>专家</w:t>
      </w:r>
      <w:r>
        <w:rPr>
          <w:rFonts w:hint="eastAsia" w:ascii="仿宋" w:hAnsi="仿宋" w:eastAsia="仿宋" w:cs="仿宋"/>
          <w:bCs/>
          <w:spacing w:val="-6"/>
          <w:sz w:val="32"/>
          <w:szCs w:val="32"/>
          <w:u w:val="none"/>
        </w:rPr>
        <w:t>对相关</w:t>
      </w:r>
      <w:r>
        <w:rPr>
          <w:rFonts w:hint="eastAsia" w:ascii="仿宋" w:hAnsi="仿宋" w:eastAsia="仿宋" w:cs="仿宋"/>
          <w:bCs/>
          <w:color w:val="000000"/>
          <w:spacing w:val="-6"/>
          <w:sz w:val="32"/>
          <w:szCs w:val="32"/>
          <w:u w:val="none"/>
        </w:rPr>
        <w:t>评价指标进行论证和判定，</w:t>
      </w:r>
      <w:r>
        <w:rPr>
          <w:rFonts w:hint="eastAsia" w:ascii="仿宋" w:hAnsi="仿宋" w:eastAsia="仿宋" w:cs="仿宋"/>
          <w:bCs/>
          <w:spacing w:val="-6"/>
          <w:sz w:val="32"/>
          <w:szCs w:val="32"/>
          <w:u w:val="none"/>
        </w:rPr>
        <w:t>当专家无法给出判定结论或存在疑议时，由自治区绿色矿山建设协调机制办公室牵头</w:t>
      </w:r>
      <w:r>
        <w:rPr>
          <w:rFonts w:hint="eastAsia" w:ascii="仿宋" w:hAnsi="仿宋" w:eastAsia="仿宋" w:cs="仿宋"/>
          <w:bCs/>
          <w:color w:val="000000"/>
          <w:spacing w:val="-6"/>
          <w:sz w:val="32"/>
          <w:szCs w:val="32"/>
          <w:u w:val="none"/>
        </w:rPr>
        <w:t>征询有关部门意见</w:t>
      </w:r>
      <w:r>
        <w:rPr>
          <w:rFonts w:hint="eastAsia" w:ascii="仿宋" w:hAnsi="仿宋" w:eastAsia="仿宋" w:cs="仿宋"/>
          <w:bCs/>
          <w:spacing w:val="-6"/>
          <w:sz w:val="32"/>
          <w:szCs w:val="32"/>
          <w:u w:val="none"/>
        </w:rPr>
        <w:t>。</w:t>
      </w: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bCs/>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bCs/>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bCs/>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bCs/>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bCs/>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黑体" w:hAnsi="黑体" w:eastAsia="黑体" w:cs="黑体"/>
          <w:sz w:val="32"/>
          <w:szCs w:val="32"/>
          <w:u w:val="none"/>
        </w:rPr>
      </w:pPr>
      <w:bookmarkStart w:id="3" w:name="OLE_LINK4"/>
      <w:r>
        <w:rPr>
          <w:rFonts w:hint="eastAsia" w:ascii="黑体" w:hAnsi="黑体" w:eastAsia="黑体" w:cs="黑体"/>
          <w:sz w:val="32"/>
          <w:szCs w:val="32"/>
          <w:u w:val="none"/>
        </w:rPr>
        <w:t>附件2</w:t>
      </w:r>
    </w:p>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方正仿宋简体" w:hAnsi="方正仿宋简体" w:eastAsia="方正仿宋简体" w:cs="方正仿宋简体"/>
          <w:sz w:val="28"/>
          <w:szCs w:val="28"/>
          <w:u w:val="none"/>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Cs/>
          <w:sz w:val="44"/>
          <w:szCs w:val="44"/>
          <w:u w:val="none"/>
        </w:rPr>
      </w:pPr>
      <w:r>
        <w:rPr>
          <w:rFonts w:hint="eastAsia" w:ascii="方正小标宋简体" w:hAnsi="方正小标宋简体" w:eastAsia="方正小标宋简体" w:cs="方正小标宋简体"/>
          <w:bCs/>
          <w:sz w:val="44"/>
          <w:szCs w:val="44"/>
          <w:u w:val="none"/>
        </w:rPr>
        <w:t>内蒙古自治区绿色矿山申报评估</w:t>
      </w: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Cs/>
          <w:sz w:val="44"/>
          <w:szCs w:val="44"/>
          <w:u w:val="none"/>
        </w:rPr>
      </w:pPr>
      <w:r>
        <w:rPr>
          <w:rFonts w:hint="eastAsia" w:ascii="方正小标宋简体" w:hAnsi="方正小标宋简体" w:eastAsia="方正小标宋简体" w:cs="方正小标宋简体"/>
          <w:bCs/>
          <w:sz w:val="44"/>
          <w:szCs w:val="44"/>
          <w:u w:val="none"/>
        </w:rPr>
        <w:t>遴选及动态管理要求</w:t>
      </w:r>
    </w:p>
    <w:p>
      <w:pPr>
        <w:keepNext w:val="0"/>
        <w:keepLines w:val="0"/>
        <w:pageBreakBefore w:val="0"/>
        <w:widowControl w:val="0"/>
        <w:kinsoku/>
        <w:wordWrap/>
        <w:overflowPunct/>
        <w:topLinePunct/>
        <w:autoSpaceDE/>
        <w:autoSpaceDN/>
        <w:bidi w:val="0"/>
        <w:adjustRightInd/>
        <w:snapToGrid/>
        <w:spacing w:line="580" w:lineRule="exact"/>
        <w:ind w:firstLine="562" w:firstLineChars="200"/>
        <w:jc w:val="both"/>
        <w:textAlignment w:val="auto"/>
        <w:rPr>
          <w:rFonts w:hint="eastAsia" w:ascii="方正仿宋简体" w:hAnsi="方正仿宋简体" w:eastAsia="方正仿宋简体" w:cs="方正仿宋简体"/>
          <w:b/>
          <w:sz w:val="28"/>
          <w:szCs w:val="28"/>
          <w:u w:val="none"/>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一、申报</w:t>
      </w:r>
    </w:p>
    <w:p>
      <w:pPr>
        <w:keepNext w:val="0"/>
        <w:keepLines w:val="0"/>
        <w:pageBreakBefore w:val="0"/>
        <w:widowControl w:val="0"/>
        <w:kinsoku/>
        <w:wordWrap/>
        <w:overflowPunct/>
        <w:topLinePunct/>
        <w:autoSpaceDE/>
        <w:autoSpaceDN/>
        <w:bidi w:val="0"/>
        <w:adjustRightInd/>
        <w:snapToGrid/>
        <w:spacing w:line="580" w:lineRule="exact"/>
        <w:ind w:firstLine="664" w:firstLineChars="200"/>
        <w:jc w:val="both"/>
        <w:textAlignment w:val="auto"/>
        <w:rPr>
          <w:rFonts w:hint="eastAsia" w:ascii="仿宋" w:hAnsi="仿宋" w:eastAsia="仿宋" w:cs="仿宋"/>
          <w:sz w:val="32"/>
          <w:szCs w:val="32"/>
          <w:u w:val="none"/>
        </w:rPr>
      </w:pPr>
      <w:r>
        <w:rPr>
          <w:rFonts w:hint="eastAsia" w:ascii="仿宋" w:hAnsi="仿宋" w:eastAsia="仿宋" w:cs="仿宋"/>
          <w:spacing w:val="6"/>
          <w:sz w:val="32"/>
          <w:szCs w:val="32"/>
          <w:u w:val="none"/>
        </w:rPr>
        <w:t>矿山企业按照绿色矿山建设评价指标自评达到标准要求的，</w:t>
      </w:r>
      <w:r>
        <w:rPr>
          <w:rFonts w:hint="eastAsia" w:ascii="仿宋" w:hAnsi="仿宋" w:eastAsia="仿宋" w:cs="仿宋"/>
          <w:sz w:val="32"/>
          <w:szCs w:val="32"/>
          <w:u w:val="none"/>
        </w:rPr>
        <w:t>应向矿山所在地盟市自然资源局提交自评估报告，申报绿色矿山评估遴选，申报材料清单如下：</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（一）《营业执照》、《采矿许可证》、《安全生产许可证》;</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（二）矿业权出让收益（价款）缴纳相关材料（矿业权出让合同、缴费票据、年度矿产品销售报表）</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环境影响评价和环保竣工验收材料；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（三）截至申报绿色矿山之日前3年，如受到自然资源、能源、生态环境、应急管理、矿山安全监管、水利、工</w:t>
      </w:r>
      <w:r>
        <w:rPr>
          <w:rFonts w:hint="eastAsia" w:ascii="仿宋" w:hAnsi="仿宋" w:eastAsia="仿宋" w:cs="仿宋"/>
          <w:sz w:val="32"/>
          <w:szCs w:val="32"/>
          <w:u w:val="none"/>
          <w:lang w:eastAsia="zh-CN"/>
        </w:rPr>
        <w:t>业和信息化</w:t>
      </w:r>
      <w:r>
        <w:rPr>
          <w:rFonts w:hint="eastAsia" w:ascii="仿宋" w:hAnsi="仿宋" w:eastAsia="仿宋" w:cs="仿宋"/>
          <w:sz w:val="32"/>
          <w:szCs w:val="32"/>
          <w:u w:val="none"/>
        </w:rPr>
        <w:t>、林草等有关主管部门行政处罚，应提供已执行到位的佐证材料；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（四）矿山上一年度储量年度报告；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（五）矿山企业绿色矿山自评报告、申请表；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（六）矿山企业对申报材料的真实性承诺书；</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（七）宣传片、遥感影像、现场照片等相关影像资料。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二、初审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盟市自然资源局是初审责任主体，应会同生态环境、应急管理等有关主管部门，按照部门职能职责，对绿色矿山申报材料组织开展初审，包括资料核查和实地核查；可根据地区实际，委托旗县级自然资源局会同有关部门开展实地核查工作。实地核查应结合评价指标内容，重点开展约束性指标达标情况核查。初审通过后报自治区自然资源厅。</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初审内容应包括：</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（一）</w:t>
      </w:r>
      <w:r>
        <w:rPr>
          <w:rFonts w:hint="eastAsia" w:ascii="仿宋" w:hAnsi="仿宋" w:eastAsia="仿宋" w:cs="仿宋"/>
          <w:spacing w:val="6"/>
          <w:sz w:val="32"/>
          <w:szCs w:val="32"/>
          <w:u w:val="none"/>
        </w:rPr>
        <w:t>《营业执照》、《采矿许可证》、《安全生产许可证》证照合法有效；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（二）按规定完成矿业权出让收益（价款）处置、环境影响评价和环保竣工验收；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（三）按规定提取使用矿区生态修复费用，并按照《矿区生态修复方案》和《年度治理计划》完成矿区生态修复工作；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pacing w:val="-6"/>
          <w:sz w:val="32"/>
          <w:szCs w:val="32"/>
          <w:u w:val="none"/>
        </w:rPr>
      </w:pPr>
      <w:r>
        <w:rPr>
          <w:rFonts w:hint="eastAsia" w:ascii="仿宋" w:hAnsi="仿宋" w:eastAsia="仿宋" w:cs="仿宋"/>
          <w:sz w:val="32"/>
          <w:szCs w:val="32"/>
          <w:u w:val="none"/>
        </w:rPr>
        <w:t>（四）</w:t>
      </w:r>
      <w:r>
        <w:rPr>
          <w:rFonts w:hint="eastAsia" w:ascii="仿宋" w:hAnsi="仿宋" w:eastAsia="仿宋" w:cs="仿宋"/>
          <w:spacing w:val="-11"/>
          <w:sz w:val="32"/>
          <w:szCs w:val="32"/>
          <w:u w:val="none"/>
        </w:rPr>
        <w:t>截至申报绿色矿山之日前3年，未受到自然资源、</w:t>
      </w:r>
      <w:r>
        <w:rPr>
          <w:rFonts w:hint="eastAsia" w:ascii="仿宋" w:hAnsi="仿宋" w:eastAsia="仿宋" w:cs="仿宋"/>
          <w:spacing w:val="-6"/>
          <w:sz w:val="32"/>
          <w:szCs w:val="32"/>
          <w:u w:val="none"/>
        </w:rPr>
        <w:t>能源、生态环境、应急管理、矿山安全监察</w:t>
      </w:r>
      <w:r>
        <w:rPr>
          <w:rFonts w:hint="eastAsia" w:ascii="仿宋" w:hAnsi="仿宋" w:eastAsia="仿宋" w:cs="仿宋"/>
          <w:spacing w:val="-6"/>
          <w:sz w:val="32"/>
          <w:szCs w:val="32"/>
          <w:u w:val="none"/>
          <w:lang w:eastAsia="zh-CN"/>
        </w:rPr>
        <w:t>监管</w:t>
      </w:r>
      <w:r>
        <w:rPr>
          <w:rFonts w:hint="eastAsia" w:ascii="仿宋" w:hAnsi="仿宋" w:eastAsia="仿宋" w:cs="仿宋"/>
          <w:spacing w:val="-6"/>
          <w:sz w:val="32"/>
          <w:szCs w:val="32"/>
          <w:u w:val="none"/>
        </w:rPr>
        <w:t>等有关主管部门行政处罚或处罚已执行到位，未发生过较大及以上安全</w:t>
      </w:r>
      <w:r>
        <w:rPr>
          <w:rFonts w:hint="eastAsia" w:ascii="仿宋" w:hAnsi="仿宋" w:eastAsia="仿宋" w:cs="仿宋"/>
          <w:spacing w:val="-6"/>
          <w:sz w:val="32"/>
          <w:szCs w:val="32"/>
          <w:u w:val="none"/>
          <w:lang w:eastAsia="zh-CN"/>
        </w:rPr>
        <w:t>生产</w:t>
      </w:r>
      <w:r>
        <w:rPr>
          <w:rFonts w:hint="eastAsia" w:ascii="仿宋" w:hAnsi="仿宋" w:eastAsia="仿宋" w:cs="仿宋"/>
          <w:spacing w:val="-6"/>
          <w:sz w:val="32"/>
          <w:szCs w:val="32"/>
          <w:u w:val="none"/>
        </w:rPr>
        <w:t>、环保事故；</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（五）按要求进行矿业权人勘查开采信息公示，未被列入异常名录，如被列入且处罚整改到位的须提供佐证材料；</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（六）</w:t>
      </w:r>
      <w:r>
        <w:rPr>
          <w:rFonts w:hint="eastAsia" w:ascii="仿宋" w:hAnsi="仿宋" w:eastAsia="仿宋" w:cs="仿宋"/>
          <w:spacing w:val="6"/>
          <w:sz w:val="32"/>
          <w:szCs w:val="32"/>
          <w:u w:val="none"/>
        </w:rPr>
        <w:t>矿山近3年正常生产运营,且剩余储量可采年限（按储量年度报告）不少于3年；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pacing w:val="-6"/>
          <w:sz w:val="32"/>
          <w:szCs w:val="32"/>
          <w:u w:val="none"/>
        </w:rPr>
      </w:pPr>
      <w:r>
        <w:rPr>
          <w:rFonts w:hint="eastAsia" w:ascii="仿宋" w:hAnsi="仿宋" w:eastAsia="仿宋" w:cs="仿宋"/>
          <w:sz w:val="32"/>
          <w:szCs w:val="32"/>
          <w:u w:val="none"/>
        </w:rPr>
        <w:t>（七）</w:t>
      </w:r>
      <w:r>
        <w:rPr>
          <w:rFonts w:hint="eastAsia" w:ascii="仿宋" w:hAnsi="仿宋" w:eastAsia="仿宋" w:cs="仿宋"/>
          <w:spacing w:val="-11"/>
          <w:sz w:val="32"/>
          <w:szCs w:val="32"/>
          <w:u w:val="none"/>
        </w:rPr>
        <w:t>矿山开采符合生态、环保、规划等各类差别化管控政策。</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三、评估审查公示公告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自治区自然资源厅委托第三方评估机构进行现场核查评估</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评估通过的，</w:t>
      </w:r>
      <w:r>
        <w:rPr>
          <w:rFonts w:hint="eastAsia" w:ascii="仿宋" w:hAnsi="仿宋" w:eastAsia="仿宋" w:cs="仿宋"/>
          <w:sz w:val="32"/>
          <w:szCs w:val="32"/>
          <w:u w:val="none"/>
          <w:lang w:eastAsia="zh-CN"/>
        </w:rPr>
        <w:t>自治区自然资源厅</w:t>
      </w:r>
      <w:r>
        <w:rPr>
          <w:rFonts w:hint="eastAsia" w:ascii="仿宋" w:hAnsi="仿宋" w:eastAsia="仿宋" w:cs="仿宋"/>
          <w:sz w:val="32"/>
          <w:szCs w:val="32"/>
          <w:u w:val="none"/>
        </w:rPr>
        <w:t>组织有关主管部门开展资料核查并按比例进行实地抽查</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核查抽查通过后，由自治区自然资源厅向社会公示，将公示无异议的矿山纳入绿色矿山名录库管理并向</w:t>
      </w:r>
      <w:r>
        <w:rPr>
          <w:rFonts w:hint="eastAsia" w:ascii="仿宋" w:hAnsi="仿宋" w:eastAsia="仿宋" w:cs="仿宋"/>
          <w:spacing w:val="6"/>
          <w:sz w:val="32"/>
          <w:szCs w:val="32"/>
          <w:u w:val="none"/>
        </w:rPr>
        <w:t>社会公告，接受社会监督。对矿区范围、开采方式、开采矿种、</w:t>
      </w:r>
      <w:r>
        <w:rPr>
          <w:rFonts w:hint="eastAsia" w:ascii="仿宋" w:hAnsi="仿宋" w:eastAsia="仿宋" w:cs="仿宋"/>
          <w:sz w:val="32"/>
          <w:szCs w:val="32"/>
          <w:u w:val="none"/>
        </w:rPr>
        <w:t>开采规模等发生重大变化的绿色矿山，</w:t>
      </w:r>
      <w:r>
        <w:rPr>
          <w:rFonts w:hint="eastAsia" w:ascii="仿宋" w:hAnsi="仿宋" w:eastAsia="仿宋" w:cs="仿宋"/>
          <w:sz w:val="32"/>
          <w:szCs w:val="32"/>
          <w:u w:val="none"/>
          <w:lang w:eastAsia="zh-CN"/>
        </w:rPr>
        <w:t>自治区自然资源厅</w:t>
      </w:r>
      <w:r>
        <w:rPr>
          <w:rFonts w:hint="eastAsia" w:ascii="仿宋" w:hAnsi="仿宋" w:eastAsia="仿宋" w:cs="仿宋"/>
          <w:sz w:val="32"/>
          <w:szCs w:val="32"/>
          <w:u w:val="none"/>
        </w:rPr>
        <w:t>要会同相关部门及时组织实地核查，明确其是否符合绿色矿山标准。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黑体" w:hAnsi="黑体" w:eastAsia="黑体" w:cs="黑体"/>
          <w:bCs/>
          <w:sz w:val="32"/>
          <w:szCs w:val="32"/>
          <w:u w:val="none"/>
        </w:rPr>
      </w:pPr>
      <w:r>
        <w:rPr>
          <w:rFonts w:hint="eastAsia" w:ascii="黑体" w:hAnsi="黑体" w:eastAsia="黑体" w:cs="黑体"/>
          <w:bCs/>
          <w:sz w:val="32"/>
          <w:szCs w:val="32"/>
          <w:u w:val="none"/>
        </w:rPr>
        <w:t>四、动态管理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lang w:eastAsia="zh-CN"/>
        </w:rPr>
      </w:pPr>
      <w:r>
        <w:rPr>
          <w:rFonts w:hint="eastAsia" w:ascii="楷体" w:hAnsi="楷体" w:eastAsia="楷体" w:cs="楷体"/>
          <w:b w:val="0"/>
          <w:bCs w:val="0"/>
          <w:sz w:val="32"/>
          <w:szCs w:val="32"/>
          <w:u w:val="none"/>
        </w:rPr>
        <w:t>（一）标注的情形。</w:t>
      </w:r>
      <w:r>
        <w:rPr>
          <w:rFonts w:hint="eastAsia" w:ascii="仿宋" w:hAnsi="仿宋" w:eastAsia="仿宋" w:cs="仿宋"/>
          <w:sz w:val="32"/>
          <w:szCs w:val="32"/>
          <w:u w:val="none"/>
        </w:rPr>
        <w:t>纳入绿色矿山名录的矿山企业出现下列情形之一的，应进行标注</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1.矿山停产1年以上；</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2.矿区范围、开采方式、开采矿种、开采规模发生变更；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方正仿宋简体" w:hAnsi="方正仿宋简体" w:eastAsia="方正仿宋简体" w:cs="方正仿宋简体"/>
          <w:sz w:val="32"/>
          <w:szCs w:val="32"/>
          <w:u w:val="none"/>
        </w:rPr>
      </w:pPr>
      <w:r>
        <w:rPr>
          <w:rFonts w:hint="eastAsia" w:ascii="仿宋" w:hAnsi="仿宋" w:eastAsia="仿宋" w:cs="仿宋"/>
          <w:sz w:val="32"/>
          <w:szCs w:val="32"/>
          <w:u w:val="none"/>
        </w:rPr>
        <w:t>3.需要限期整改的事项。</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lang w:eastAsia="zh-CN"/>
        </w:rPr>
      </w:pPr>
      <w:r>
        <w:rPr>
          <w:rFonts w:hint="eastAsia" w:ascii="楷体" w:hAnsi="楷体" w:eastAsia="楷体" w:cs="楷体"/>
          <w:b w:val="0"/>
          <w:bCs w:val="0"/>
          <w:sz w:val="32"/>
          <w:szCs w:val="32"/>
          <w:u w:val="none"/>
        </w:rPr>
        <w:t>（二）限期整改的情形。</w:t>
      </w:r>
      <w:r>
        <w:rPr>
          <w:rFonts w:hint="eastAsia" w:ascii="仿宋" w:hAnsi="仿宋" w:eastAsia="仿宋" w:cs="仿宋"/>
          <w:sz w:val="32"/>
          <w:szCs w:val="32"/>
          <w:u w:val="none"/>
        </w:rPr>
        <w:t>纳入绿色矿山名录的矿山企业出现下列情形之一的，应限期整改，整改期限由提出问题的有关主管部门决定</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1.绿色矿山评估相关档案资料不健全；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2.矿区环境较差；</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3.采用国家禁止的过期淘汰设备和生产工艺；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4.选矿及加工工艺落后，有污染风险；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5.矿产资源“三率”等指标不达标；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6.矿区生态修复不符合相关方案；</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7.“三废”未得到有效处置和综合利用，有污染风险；</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8.能耗、水耗指标未达到规定要求；</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方正仿宋简体" w:hAnsi="方正仿宋简体" w:eastAsia="方正仿宋简体" w:cs="方正仿宋简体"/>
          <w:sz w:val="32"/>
          <w:szCs w:val="32"/>
          <w:u w:val="none"/>
        </w:rPr>
      </w:pPr>
      <w:r>
        <w:rPr>
          <w:rFonts w:hint="eastAsia" w:ascii="仿宋" w:hAnsi="仿宋" w:eastAsia="仿宋" w:cs="仿宋"/>
          <w:sz w:val="32"/>
          <w:szCs w:val="32"/>
          <w:u w:val="none"/>
        </w:rPr>
        <w:t>9.其他违法违规行为，需限期整改的。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lang w:eastAsia="zh-CN"/>
        </w:rPr>
      </w:pPr>
      <w:r>
        <w:rPr>
          <w:rFonts w:hint="eastAsia" w:ascii="楷体" w:hAnsi="楷体" w:eastAsia="楷体" w:cs="楷体"/>
          <w:b w:val="0"/>
          <w:bCs w:val="0"/>
          <w:sz w:val="32"/>
          <w:szCs w:val="32"/>
          <w:u w:val="none"/>
        </w:rPr>
        <w:t>（三）移出绿色矿山名录的情形。</w:t>
      </w:r>
      <w:r>
        <w:rPr>
          <w:rFonts w:hint="eastAsia" w:ascii="仿宋" w:hAnsi="仿宋" w:eastAsia="仿宋" w:cs="仿宋"/>
          <w:sz w:val="32"/>
          <w:szCs w:val="32"/>
          <w:u w:val="none"/>
        </w:rPr>
        <w:t>盟市、旗县</w:t>
      </w:r>
      <w:r>
        <w:rPr>
          <w:rFonts w:hint="eastAsia" w:ascii="仿宋" w:hAnsi="仿宋" w:eastAsia="仿宋" w:cs="仿宋"/>
          <w:sz w:val="32"/>
          <w:szCs w:val="32"/>
          <w:u w:val="none"/>
          <w:lang w:eastAsia="zh-CN"/>
        </w:rPr>
        <w:t>（市、区）</w:t>
      </w:r>
      <w:r>
        <w:rPr>
          <w:rFonts w:hint="eastAsia" w:ascii="仿宋" w:hAnsi="仿宋" w:eastAsia="仿宋" w:cs="仿宋"/>
          <w:sz w:val="32"/>
          <w:szCs w:val="32"/>
          <w:u w:val="none"/>
        </w:rPr>
        <w:t>自然资源主管部门会同有关部门在日常监管中发现绿色矿山存在下列情形之一的，要及时上报自治区绿色矿山建设协调机制办公室审核，自治区相关部门按照职责分工发现问题线索的，要及时告知自治区绿色矿山建设协调机制办公室，经自治区绿色矿山建设协调机制审定后，移出绿色矿山名录，不再享受相应支持政策，</w:t>
      </w:r>
      <w:r>
        <w:rPr>
          <w:rFonts w:hint="eastAsia" w:ascii="仿宋" w:hAnsi="仿宋" w:eastAsia="仿宋" w:cs="仿宋"/>
          <w:spacing w:val="6"/>
          <w:sz w:val="32"/>
          <w:szCs w:val="32"/>
          <w:u w:val="none"/>
        </w:rPr>
        <w:t>并向社会公告，后续整改工作由问题涉及的相关部门负责监督，</w:t>
      </w:r>
      <w:r>
        <w:rPr>
          <w:rFonts w:hint="eastAsia" w:ascii="仿宋" w:hAnsi="仿宋" w:eastAsia="仿宋" w:cs="仿宋"/>
          <w:sz w:val="32"/>
          <w:szCs w:val="32"/>
          <w:u w:val="none"/>
        </w:rPr>
        <w:t>并将整改结果抄送自治区绿色矿山建设协调机制办公室</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1.《采矿许可证》</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《安全生产许可证》</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《营业执照》证照不齐、过期未及时延续或被吊销的；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2.受到行政处罚后在履行期限内未执行到位的；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3.采矿权消灭的，因矿山企业自身原因未正常生产运营停产超过3年的；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4.违法开采特别是越界开采、擅自改变开采方式的；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5.发生较大及以上安全生产事故或环境事件的，发生土壤和地下水严重污染的；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6.未落实国土空间规划和用途管制的；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7.未落实生态环境分区管控、环境影响评价、排污许可等相关制度要求，且未按期整改到位的；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8.未按要求定期开展尾矿库污染隐患排查的或尾矿库污染防治设施未按要求建设运行的；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9.采矿权人被列入矿业权人勘查开采信息公示异常名录，且未在6个月内移出的；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10.矿产资源开发利用水平连续2年被划定为落后档次的；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11.被中央环保督察、巡视审计、全国人大常委会执法检查等作为典型案例通报或纳入各类警示片的；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12.发生突发事件，因企业违法违规在全国门户类网站、平台引发负面舆情的；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13.弄虚作假通过绿色矿山评估的；</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14.其他违法违规行为不宜继续列入名录的。</w:t>
      </w:r>
    </w:p>
    <w:bookmarkEnd w:id="3"/>
    <w:p>
      <w:pPr>
        <w:keepNext w:val="0"/>
        <w:keepLines w:val="0"/>
        <w:pageBreakBefore w:val="0"/>
        <w:widowControl w:val="0"/>
        <w:kinsoku/>
        <w:wordWrap/>
        <w:overflowPunct/>
        <w:topLinePunct/>
        <w:autoSpaceDE/>
        <w:autoSpaceDN/>
        <w:bidi w:val="0"/>
        <w:adjustRightInd/>
        <w:snapToGrid/>
        <w:spacing w:line="580" w:lineRule="exact"/>
        <w:jc w:val="both"/>
        <w:textAlignment w:val="auto"/>
        <w:rPr>
          <w:rFonts w:hint="eastAsia" w:ascii="黑体" w:hAnsi="黑体" w:eastAsia="黑体" w:cs="黑体"/>
          <w:sz w:val="32"/>
          <w:szCs w:val="32"/>
          <w:u w:val="none"/>
        </w:rPr>
      </w:pPr>
      <w:r>
        <w:rPr>
          <w:rFonts w:hint="eastAsia" w:ascii="方正仿宋简体" w:hAnsi="方正仿宋简体" w:eastAsia="方正仿宋简体" w:cs="方正仿宋简体"/>
          <w:sz w:val="32"/>
          <w:szCs w:val="32"/>
          <w:u w:val="none"/>
        </w:rPr>
        <w:br w:type="page"/>
      </w:r>
      <w:bookmarkStart w:id="4" w:name="OLE_LINK5"/>
      <w:r>
        <w:rPr>
          <w:rFonts w:hint="eastAsia" w:ascii="黑体" w:hAnsi="黑体" w:eastAsia="黑体" w:cs="黑体"/>
          <w:sz w:val="32"/>
          <w:szCs w:val="32"/>
          <w:u w:val="none"/>
        </w:rPr>
        <w:t>附件3</w:t>
      </w:r>
    </w:p>
    <w:p>
      <w:pPr>
        <w:keepNext w:val="0"/>
        <w:keepLines w:val="0"/>
        <w:pageBreakBefore w:val="0"/>
        <w:widowControl w:val="0"/>
        <w:kinsoku/>
        <w:wordWrap/>
        <w:overflowPunct/>
        <w:topLinePunct/>
        <w:autoSpaceDE/>
        <w:autoSpaceDN/>
        <w:bidi w:val="0"/>
        <w:adjustRightInd/>
        <w:snapToGrid/>
        <w:spacing w:line="580" w:lineRule="exact"/>
        <w:ind w:firstLine="560" w:firstLineChars="200"/>
        <w:jc w:val="both"/>
        <w:textAlignment w:val="auto"/>
        <w:rPr>
          <w:rFonts w:hint="eastAsia" w:ascii="方正仿宋简体" w:hAnsi="方正仿宋简体" w:eastAsia="方正仿宋简体" w:cs="方正仿宋简体"/>
          <w:sz w:val="28"/>
          <w:szCs w:val="28"/>
          <w:u w:val="none"/>
        </w:rPr>
      </w:pPr>
    </w:p>
    <w:p>
      <w:pPr>
        <w:keepNext w:val="0"/>
        <w:keepLines w:val="0"/>
        <w:pageBreakBefore w:val="0"/>
        <w:widowControl w:val="0"/>
        <w:kinsoku/>
        <w:wordWrap/>
        <w:overflowPunct/>
        <w:topLinePunct/>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Cs/>
          <w:sz w:val="44"/>
          <w:szCs w:val="44"/>
          <w:u w:val="none"/>
        </w:rPr>
      </w:pPr>
      <w:r>
        <w:rPr>
          <w:rFonts w:hint="eastAsia" w:ascii="方正小标宋简体" w:hAnsi="方正小标宋简体" w:eastAsia="方正小标宋简体" w:cs="方正小标宋简体"/>
          <w:b w:val="0"/>
          <w:bCs w:val="0"/>
          <w:sz w:val="44"/>
          <w:szCs w:val="44"/>
        </w:rPr>
        <w:t>各有关部门推进绿色矿山建设</w:t>
      </w:r>
      <w:r>
        <w:rPr>
          <w:rFonts w:hint="eastAsia" w:ascii="方正小标宋简体" w:hAnsi="方正小标宋简体" w:eastAsia="方正小标宋简体" w:cs="方正小标宋简体"/>
          <w:b w:val="0"/>
          <w:bCs w:val="0"/>
          <w:sz w:val="44"/>
          <w:szCs w:val="44"/>
          <w:lang w:eastAsia="zh-CN"/>
        </w:rPr>
        <w:t>职责</w:t>
      </w:r>
      <w:r>
        <w:rPr>
          <w:rFonts w:hint="eastAsia" w:ascii="方正小标宋简体" w:hAnsi="方正小标宋简体" w:eastAsia="方正小标宋简体" w:cs="方正小标宋简体"/>
          <w:b w:val="0"/>
          <w:bCs w:val="0"/>
          <w:sz w:val="44"/>
          <w:szCs w:val="44"/>
        </w:rPr>
        <w:t>分工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方正仿宋简体" w:hAnsi="方正仿宋简体" w:eastAsia="方正仿宋简体" w:cs="方正仿宋简体"/>
          <w:sz w:val="32"/>
          <w:szCs w:val="32"/>
          <w:u w:val="none"/>
        </w:rPr>
      </w:pP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自然资源部门：负责矿产资源“三率”、开发利用方案和矿区生态修复方案等执行情况的监督。</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发展改革部门：负责配合查询矿山企业信用信息，并及时向自然资源部门推送查询结果，按照职能职责开展矿山节能审查。</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工业和信息化部门：负责矿山工业能源节约、资源综合利用、工业绿色发展，引导矿山企业新产品、新技术、新设备、新材料的推广应用。</w:t>
      </w:r>
    </w:p>
    <w:p>
      <w:pPr>
        <w:keepNext w:val="0"/>
        <w:keepLines w:val="0"/>
        <w:pageBreakBefore w:val="0"/>
        <w:widowControl w:val="0"/>
        <w:kinsoku/>
        <w:wordWrap/>
        <w:overflowPunct/>
        <w:topLinePunct/>
        <w:autoSpaceDE/>
        <w:autoSpaceDN/>
        <w:bidi w:val="0"/>
        <w:adjustRightInd/>
        <w:snapToGrid/>
        <w:spacing w:line="580" w:lineRule="exact"/>
        <w:ind w:firstLine="616" w:firstLineChars="200"/>
        <w:jc w:val="both"/>
        <w:textAlignment w:val="auto"/>
        <w:rPr>
          <w:rFonts w:hint="eastAsia" w:ascii="仿宋" w:hAnsi="仿宋" w:eastAsia="仿宋" w:cs="仿宋"/>
          <w:sz w:val="32"/>
          <w:szCs w:val="32"/>
          <w:u w:val="none"/>
        </w:rPr>
      </w:pPr>
      <w:r>
        <w:rPr>
          <w:rFonts w:hint="eastAsia" w:ascii="仿宋" w:hAnsi="仿宋" w:eastAsia="仿宋" w:cs="仿宋"/>
          <w:spacing w:val="-6"/>
          <w:sz w:val="32"/>
          <w:szCs w:val="32"/>
          <w:u w:val="none"/>
        </w:rPr>
        <w:t>财政部门：做好绿色矿山监管和第三方评估等工作经费保障。</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生态环境部门：负责矿山环境污染防治监督管理，加强对矿山排放废气、废水、废渣及扬尘等污染物的监督管理。</w:t>
      </w:r>
    </w:p>
    <w:p>
      <w:pPr>
        <w:keepNext w:val="0"/>
        <w:keepLines w:val="0"/>
        <w:pageBreakBefore w:val="0"/>
        <w:widowControl w:val="0"/>
        <w:kinsoku/>
        <w:wordWrap/>
        <w:overflowPunct/>
        <w:topLinePunct/>
        <w:autoSpaceDE/>
        <w:autoSpaceDN/>
        <w:bidi w:val="0"/>
        <w:adjustRightInd/>
        <w:snapToGrid/>
        <w:spacing w:line="580" w:lineRule="exact"/>
        <w:ind w:firstLine="664" w:firstLineChars="200"/>
        <w:jc w:val="both"/>
        <w:textAlignment w:val="auto"/>
        <w:rPr>
          <w:rFonts w:hint="eastAsia" w:ascii="仿宋" w:hAnsi="仿宋" w:eastAsia="仿宋" w:cs="仿宋"/>
          <w:sz w:val="32"/>
          <w:szCs w:val="32"/>
          <w:u w:val="none"/>
        </w:rPr>
      </w:pPr>
      <w:r>
        <w:rPr>
          <w:rFonts w:hint="eastAsia" w:ascii="仿宋" w:hAnsi="仿宋" w:eastAsia="仿宋" w:cs="仿宋"/>
          <w:spacing w:val="6"/>
          <w:sz w:val="32"/>
          <w:szCs w:val="32"/>
          <w:u w:val="none"/>
        </w:rPr>
        <w:t>水利部门：负责监督指导矿山企业依法编报水土保持方案、</w:t>
      </w:r>
      <w:r>
        <w:rPr>
          <w:rFonts w:hint="eastAsia" w:ascii="仿宋" w:hAnsi="仿宋" w:eastAsia="仿宋" w:cs="仿宋"/>
          <w:sz w:val="32"/>
          <w:szCs w:val="32"/>
          <w:u w:val="none"/>
        </w:rPr>
        <w:t>做好水土流失预防和治理措施、投产使用或者竣工验收前开展水土保持设施自主验收并报备，加强矿山水土保持监管，会同生态环境部门对矿山矿井水、疏干水综合利用进行监管。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应急管理部门（矿山安全监管部门）：负责矿山安全生产监</w:t>
      </w:r>
      <w:r>
        <w:rPr>
          <w:rFonts w:hint="eastAsia" w:ascii="仿宋" w:hAnsi="仿宋" w:eastAsia="仿宋" w:cs="仿宋"/>
          <w:spacing w:val="6"/>
          <w:sz w:val="32"/>
          <w:szCs w:val="32"/>
          <w:u w:val="none"/>
        </w:rPr>
        <w:t>督管理，对矿山企业安全生产条件、设备设施安全情况进行监管执法，指导矿山安全信息化建设；负责矿山企业安全生产许可、</w:t>
      </w:r>
      <w:r>
        <w:rPr>
          <w:rFonts w:hint="eastAsia" w:ascii="仿宋" w:hAnsi="仿宋" w:eastAsia="仿宋" w:cs="仿宋"/>
          <w:sz w:val="32"/>
          <w:szCs w:val="32"/>
          <w:u w:val="none"/>
        </w:rPr>
        <w:t>建设项目安全设施设计审查和竣工验收核查以及矿山企业建设项目安全核准。</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市场监管部门（政务服务与数据管理部门）:负责指导绿色矿山建设地方标准的制修订工作，矿山企业营业执照核发，监督检查登记注册行为。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能源部门：负责煤矿初步设计审批等行业管理工作，负责能源领域新技术、新产品和新设备的研发、示范、推广和应用，配合发展改革部门指导全区能源行业节能减排和资源综合利用。</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林草部门：负责统筹安排绿色矿山占用林地草地定额，办理矿山占用林地草地手续，矿山植被恢复审核验收。</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金融监管部门：负责制定和监督落实绿色矿山金融支持政策，指导全区银行保险业机构积极开展相关金融服务。</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税务部门：负责矿山企业各类税费征收工作，落实绿色矿山各项税收支持政策。</w:t>
      </w:r>
    </w:p>
    <w:p>
      <w:pPr>
        <w:keepNext w:val="0"/>
        <w:keepLines w:val="0"/>
        <w:pageBreakBefore w:val="0"/>
        <w:widowControl w:val="0"/>
        <w:kinsoku/>
        <w:wordWrap/>
        <w:overflowPunct/>
        <w:topLinePunct/>
        <w:autoSpaceDE/>
        <w:autoSpaceDN/>
        <w:bidi w:val="0"/>
        <w:adjustRightInd/>
        <w:snapToGrid/>
        <w:spacing w:line="580" w:lineRule="exact"/>
        <w:ind w:firstLine="640" w:firstLineChars="200"/>
        <w:jc w:val="both"/>
        <w:textAlignment w:val="auto"/>
        <w:rPr>
          <w:rFonts w:hint="eastAsia" w:ascii="仿宋" w:hAnsi="仿宋" w:eastAsia="仿宋" w:cs="仿宋"/>
          <w:sz w:val="32"/>
          <w:szCs w:val="32"/>
          <w:u w:val="none"/>
        </w:rPr>
      </w:pPr>
      <w:r>
        <w:rPr>
          <w:rFonts w:hint="eastAsia" w:ascii="仿宋" w:hAnsi="仿宋" w:eastAsia="仿宋" w:cs="仿宋"/>
          <w:sz w:val="32"/>
          <w:szCs w:val="32"/>
          <w:u w:val="none"/>
        </w:rPr>
        <w:t>各部门职能职责有调整的，按照调整后的职责分工执行。</w:t>
      </w:r>
    </w:p>
    <w:bookmarkEnd w:id="4"/>
    <w:p>
      <w:pPr>
        <w:keepNext w:val="0"/>
        <w:keepLines w:val="0"/>
        <w:pageBreakBefore w:val="0"/>
        <w:widowControl w:val="0"/>
        <w:numPr>
          <w:ilvl w:val="0"/>
          <w:numId w:val="0"/>
        </w:numPr>
        <w:kinsoku/>
        <w:wordWrap/>
        <w:overflowPunct/>
        <w:topLinePunct/>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tbl>
      <w:tblPr>
        <w:tblStyle w:val="9"/>
        <w:tblW w:w="8986"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PrEx>
        <w:trPr>
          <w:jc w:val="center"/>
        </w:trPr>
        <w:tc>
          <w:tcPr>
            <w:tcW w:w="8986" w:type="dxa"/>
            <w:noWrap w:val="0"/>
            <w:vAlign w:val="top"/>
          </w:tcPr>
          <w:p>
            <w:pPr>
              <w:keepNext w:val="0"/>
              <w:keepLines w:val="0"/>
              <w:pageBreakBefore w:val="0"/>
              <w:widowControl w:val="0"/>
              <w:kinsoku/>
              <w:wordWrap/>
              <w:overflowPunct/>
              <w:topLinePunct/>
              <w:autoSpaceDE/>
              <w:autoSpaceDN/>
              <w:bidi w:val="0"/>
              <w:adjustRightInd/>
              <w:snapToGrid/>
              <w:spacing w:line="400" w:lineRule="exact"/>
              <w:ind w:firstLine="280" w:firstLineChars="100"/>
              <w:jc w:val="both"/>
              <w:textAlignment w:val="auto"/>
              <w:rPr>
                <w:rFonts w:hint="eastAsia" w:ascii="仿宋" w:hAnsi="仿宋" w:eastAsia="仿宋" w:cs="仿宋"/>
                <w:sz w:val="28"/>
              </w:rPr>
            </w:pPr>
            <w:r>
              <w:rPr>
                <w:rFonts w:hint="eastAsia" w:ascii="仿宋" w:hAnsi="仿宋" w:eastAsia="仿宋" w:cs="仿宋"/>
                <w:sz w:val="28"/>
              </w:rPr>
              <w:t>抄送：自治区党委各部门，内蒙古军区，武警内蒙古总队。</w:t>
            </w:r>
          </w:p>
          <w:p>
            <w:pPr>
              <w:keepNext w:val="0"/>
              <w:keepLines w:val="0"/>
              <w:pageBreakBefore w:val="0"/>
              <w:widowControl w:val="0"/>
              <w:kinsoku/>
              <w:wordWrap/>
              <w:overflowPunct/>
              <w:topLinePunct/>
              <w:autoSpaceDE/>
              <w:autoSpaceDN/>
              <w:bidi w:val="0"/>
              <w:adjustRightInd/>
              <w:snapToGrid/>
              <w:spacing w:line="400" w:lineRule="exact"/>
              <w:jc w:val="both"/>
              <w:textAlignment w:val="auto"/>
              <w:rPr>
                <w:rFonts w:hint="eastAsia" w:ascii="仿宋" w:hAnsi="仿宋" w:eastAsia="仿宋" w:cs="仿宋"/>
                <w:sz w:val="28"/>
                <w:lang w:eastAsia="zh-CN"/>
              </w:rPr>
            </w:pPr>
            <w:r>
              <w:rPr>
                <w:rFonts w:hint="eastAsia" w:ascii="仿宋" w:hAnsi="仿宋" w:eastAsia="仿宋" w:cs="仿宋"/>
                <w:sz w:val="28"/>
                <w:lang w:val="en-US" w:eastAsia="zh-CN"/>
              </w:rPr>
              <w:t xml:space="preserve">        </w:t>
            </w:r>
            <w:r>
              <w:rPr>
                <w:rFonts w:hint="eastAsia" w:ascii="仿宋" w:hAnsi="仿宋" w:eastAsia="仿宋" w:cs="仿宋"/>
                <w:sz w:val="28"/>
              </w:rPr>
              <w:t>自治区人大常委会办公厅</w:t>
            </w:r>
            <w:r>
              <w:rPr>
                <w:rFonts w:hint="eastAsia" w:ascii="仿宋" w:hAnsi="仿宋" w:eastAsia="仿宋" w:cs="仿宋"/>
                <w:sz w:val="28"/>
                <w:lang w:eastAsia="zh-CN"/>
              </w:rPr>
              <w:t>，自治区</w:t>
            </w:r>
            <w:r>
              <w:rPr>
                <w:rFonts w:hint="eastAsia" w:ascii="仿宋" w:hAnsi="仿宋" w:eastAsia="仿宋" w:cs="仿宋"/>
                <w:sz w:val="28"/>
              </w:rPr>
              <w:t>政协办公厅，</w:t>
            </w:r>
            <w:r>
              <w:rPr>
                <w:rFonts w:hint="eastAsia" w:ascii="仿宋" w:hAnsi="仿宋" w:eastAsia="仿宋" w:cs="仿宋"/>
                <w:sz w:val="28"/>
                <w:lang w:eastAsia="zh-CN"/>
              </w:rPr>
              <w:t>自治区监委，</w:t>
            </w:r>
          </w:p>
          <w:p>
            <w:pPr>
              <w:keepNext w:val="0"/>
              <w:keepLines w:val="0"/>
              <w:pageBreakBefore w:val="0"/>
              <w:widowControl w:val="0"/>
              <w:kinsoku/>
              <w:wordWrap/>
              <w:overflowPunct/>
              <w:topLinePunct/>
              <w:autoSpaceDE/>
              <w:autoSpaceDN/>
              <w:bidi w:val="0"/>
              <w:adjustRightInd/>
              <w:snapToGrid/>
              <w:spacing w:line="400" w:lineRule="exact"/>
              <w:ind w:firstLine="1120" w:firstLineChars="400"/>
              <w:jc w:val="both"/>
              <w:textAlignment w:val="auto"/>
              <w:rPr>
                <w:rFonts w:hint="eastAsia" w:ascii="仿宋" w:hAnsi="仿宋" w:eastAsia="仿宋" w:cs="仿宋"/>
                <w:sz w:val="28"/>
              </w:rPr>
            </w:pPr>
            <w:r>
              <w:rPr>
                <w:rFonts w:hint="eastAsia" w:ascii="仿宋" w:hAnsi="仿宋" w:eastAsia="仿宋" w:cs="仿宋"/>
                <w:sz w:val="28"/>
                <w:lang w:eastAsia="zh-CN"/>
              </w:rPr>
              <w:t>自治区高</w:t>
            </w:r>
            <w:r>
              <w:rPr>
                <w:rFonts w:hint="eastAsia" w:ascii="仿宋" w:hAnsi="仿宋" w:eastAsia="仿宋" w:cs="仿宋"/>
                <w:sz w:val="28"/>
              </w:rPr>
              <w:t>级人民法院，</w:t>
            </w:r>
            <w:r>
              <w:rPr>
                <w:rFonts w:hint="eastAsia" w:ascii="仿宋" w:hAnsi="仿宋" w:eastAsia="仿宋" w:cs="仿宋"/>
                <w:sz w:val="28"/>
                <w:lang w:eastAsia="zh-CN"/>
              </w:rPr>
              <w:t>自治区人民</w:t>
            </w:r>
            <w:r>
              <w:rPr>
                <w:rFonts w:hint="eastAsia" w:ascii="仿宋" w:hAnsi="仿宋" w:eastAsia="仿宋" w:cs="仿宋"/>
                <w:sz w:val="28"/>
              </w:rPr>
              <w:t>检察院。</w:t>
            </w:r>
          </w:p>
          <w:p>
            <w:pPr>
              <w:keepNext w:val="0"/>
              <w:keepLines w:val="0"/>
              <w:pageBreakBefore w:val="0"/>
              <w:widowControl w:val="0"/>
              <w:kinsoku/>
              <w:wordWrap/>
              <w:overflowPunct/>
              <w:topLinePunct/>
              <w:autoSpaceDE/>
              <w:autoSpaceDN/>
              <w:bidi w:val="0"/>
              <w:adjustRightInd/>
              <w:snapToGrid/>
              <w:spacing w:line="400" w:lineRule="exact"/>
              <w:jc w:val="both"/>
              <w:textAlignment w:val="auto"/>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lang w:eastAsia="zh-CN"/>
              </w:rPr>
              <w:t>各民主党派区委会，</w:t>
            </w:r>
            <w:r>
              <w:rPr>
                <w:rFonts w:hint="eastAsia" w:ascii="仿宋" w:hAnsi="仿宋" w:eastAsia="仿宋" w:cs="仿宋"/>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86" w:type="dxa"/>
            <w:noWrap w:val="0"/>
            <w:vAlign w:val="top"/>
          </w:tcPr>
          <w:p>
            <w:pPr>
              <w:keepNext w:val="0"/>
              <w:keepLines w:val="0"/>
              <w:pageBreakBefore w:val="0"/>
              <w:widowControl w:val="0"/>
              <w:kinsoku/>
              <w:wordWrap/>
              <w:overflowPunct/>
              <w:topLinePunct/>
              <w:autoSpaceDE/>
              <w:autoSpaceDN/>
              <w:bidi w:val="0"/>
              <w:adjustRightInd/>
              <w:snapToGrid/>
              <w:spacing w:line="240" w:lineRule="auto"/>
              <w:ind w:firstLine="280" w:firstLineChars="100"/>
              <w:jc w:val="both"/>
              <w:textAlignment w:val="auto"/>
              <w:rPr>
                <w:rFonts w:hint="eastAsia" w:ascii="仿宋" w:hAnsi="仿宋" w:eastAsia="仿宋" w:cs="仿宋"/>
                <w:sz w:val="28"/>
              </w:rPr>
            </w:pPr>
            <w:r>
              <w:rPr>
                <w:rFonts w:hint="eastAsia" w:ascii="仿宋" w:hAnsi="仿宋" w:eastAsia="仿宋" w:cs="仿宋"/>
                <w:sz w:val="28"/>
              </w:rPr>
              <w:t>内蒙古自治区人民政府办公厅文电处       202</w:t>
            </w:r>
            <w:r>
              <w:rPr>
                <w:rFonts w:hint="eastAsia" w:ascii="仿宋" w:hAnsi="仿宋" w:eastAsia="仿宋" w:cs="仿宋"/>
                <w:sz w:val="28"/>
                <w:lang w:val="en-US" w:eastAsia="zh-CN"/>
              </w:rPr>
              <w:t>5</w:t>
            </w:r>
            <w:r>
              <w:rPr>
                <w:rFonts w:hint="eastAsia" w:ascii="仿宋" w:hAnsi="仿宋" w:eastAsia="仿宋" w:cs="仿宋"/>
                <w:sz w:val="28"/>
              </w:rPr>
              <w:t>年</w:t>
            </w:r>
            <w:r>
              <w:rPr>
                <w:rFonts w:hint="eastAsia" w:ascii="仿宋" w:hAnsi="仿宋" w:eastAsia="仿宋" w:cs="仿宋"/>
                <w:sz w:val="28"/>
                <w:lang w:val="en-US" w:eastAsia="zh-CN"/>
              </w:rPr>
              <w:t>6</w:t>
            </w:r>
            <w:r>
              <w:rPr>
                <w:rFonts w:hint="eastAsia" w:ascii="仿宋" w:hAnsi="仿宋" w:eastAsia="仿宋" w:cs="仿宋"/>
                <w:sz w:val="28"/>
              </w:rPr>
              <w:t>月</w:t>
            </w:r>
            <w:r>
              <w:rPr>
                <w:rFonts w:hint="eastAsia" w:ascii="仿宋" w:hAnsi="仿宋" w:eastAsia="仿宋" w:cs="仿宋"/>
                <w:sz w:val="28"/>
                <w:lang w:val="en-US" w:eastAsia="zh-CN"/>
              </w:rPr>
              <w:t>11</w:t>
            </w:r>
            <w:r>
              <w:rPr>
                <w:rFonts w:hint="eastAsia" w:ascii="仿宋" w:hAnsi="仿宋" w:eastAsia="仿宋" w:cs="仿宋"/>
                <w:sz w:val="28"/>
              </w:rPr>
              <w:t>日印发</w:t>
            </w:r>
          </w:p>
        </w:tc>
      </w:tr>
    </w:tbl>
    <w:p>
      <w:pPr>
        <w:keepNext w:val="0"/>
        <w:keepLines w:val="0"/>
        <w:pageBreakBefore w:val="0"/>
        <w:widowControl w:val="0"/>
        <w:kinsoku/>
        <w:wordWrap/>
        <w:overflowPunct/>
        <w:topLinePunct/>
        <w:autoSpaceDE/>
        <w:autoSpaceDN/>
        <w:bidi w:val="0"/>
        <w:adjustRightInd/>
        <w:snapToGrid/>
        <w:spacing w:line="20" w:lineRule="exact"/>
        <w:jc w:val="both"/>
        <w:textAlignment w:val="auto"/>
        <w:rPr>
          <w:rFonts w:hint="eastAsia"/>
        </w:rPr>
      </w:pPr>
      <w:r>
        <w:rPr>
          <w:rFonts w:hint="eastAsia" w:ascii="仿宋" w:hAnsi="仿宋" w:eastAsia="仿宋" w:cs="仿宋"/>
          <w:b w:val="0"/>
          <w:bCs w:val="0"/>
          <w:sz w:val="32"/>
          <w:szCs w:val="32"/>
          <w:lang w:val="en-US" w:eastAsia="zh-CN"/>
        </w:rPr>
        <w:drawing>
          <wp:anchor distT="0" distB="0" distL="114300" distR="114300" simplePos="0" relativeHeight="251658240" behindDoc="1" locked="0" layoutInCell="1" allowOverlap="1">
            <wp:simplePos x="0" y="0"/>
            <wp:positionH relativeFrom="column">
              <wp:posOffset>3768725</wp:posOffset>
            </wp:positionH>
            <wp:positionV relativeFrom="paragraph">
              <wp:posOffset>148590</wp:posOffset>
            </wp:positionV>
            <wp:extent cx="1790700" cy="476250"/>
            <wp:effectExtent l="0" t="0" r="0" b="0"/>
            <wp:wrapNone/>
            <wp:docPr id="1" name="图片 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4"/>
                    <pic:cNvPicPr>
                      <a:picLocks noChangeAspect="1"/>
                    </pic:cNvPicPr>
                  </pic:nvPicPr>
                  <pic:blipFill>
                    <a:blip r:embed="rId19"/>
                    <a:stretch>
                      <a:fillRect/>
                    </a:stretch>
                  </pic:blipFill>
                  <pic:spPr>
                    <a:xfrm>
                      <a:off x="0" y="0"/>
                      <a:ext cx="1790700" cy="476250"/>
                    </a:xfrm>
                    <a:prstGeom prst="rect">
                      <a:avLst/>
                    </a:prstGeom>
                    <a:noFill/>
                    <a:ln>
                      <a:noFill/>
                    </a:ln>
                  </pic:spPr>
                </pic:pic>
              </a:graphicData>
            </a:graphic>
          </wp:anchor>
        </w:drawing>
      </w:r>
    </w:p>
    <w:sectPr>
      <w:headerReference r:id="rId3" w:type="default"/>
      <w:footerReference r:id="rId5" w:type="default"/>
      <w:headerReference r:id="rId4" w:type="even"/>
      <w:footerReference r:id="rId6" w:type="even"/>
      <w:pgSz w:w="11906" w:h="16838"/>
      <w:pgMar w:top="2098" w:right="1474" w:bottom="1701" w:left="1474" w:header="851" w:footer="1304"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华文仿宋">
    <w:altName w:val="方正仿宋_GBK"/>
    <w:panose1 w:val="02010600040101010101"/>
    <w:charset w:val="00"/>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9452" w:y="-23"/>
      <w:rPr>
        <w:rStyle w:val="12"/>
        <w:rFonts w:hint="eastAsia" w:ascii="宋体" w:hAnsi="宋体"/>
        <w:sz w:val="28"/>
        <w:szCs w:val="28"/>
      </w:rPr>
    </w:pPr>
    <w:r>
      <w:rPr>
        <w:rFonts w:hint="eastAsia" w:ascii="宋体" w:hAnsi="宋体"/>
        <w:sz w:val="28"/>
        <w:szCs w:val="28"/>
      </w:rPr>
      <w:fldChar w:fldCharType="begin"/>
    </w:r>
    <w:r>
      <w:rPr>
        <w:rStyle w:val="12"/>
        <w:rFonts w:hint="eastAsia" w:ascii="宋体" w:hAnsi="宋体"/>
        <w:sz w:val="28"/>
        <w:szCs w:val="28"/>
      </w:rPr>
      <w:instrText xml:space="preserve">PAGE  </w:instrText>
    </w:r>
    <w:r>
      <w:rPr>
        <w:rFonts w:hint="eastAsia" w:ascii="宋体" w:hAnsi="宋体"/>
        <w:sz w:val="28"/>
        <w:szCs w:val="28"/>
      </w:rPr>
      <w:fldChar w:fldCharType="separate"/>
    </w:r>
    <w:r>
      <w:rPr>
        <w:rStyle w:val="12"/>
        <w:rFonts w:ascii="宋体" w:hAnsi="宋体"/>
        <w:sz w:val="28"/>
        <w:szCs w:val="28"/>
        <w:lang/>
      </w:rPr>
      <w:t>- 1 -</w:t>
    </w:r>
    <w:r>
      <w:rPr>
        <w:rFonts w:hint="eastAsia" w:ascii="宋体" w:hAnsi="宋体"/>
        <w:sz w:val="28"/>
        <w:szCs w:val="28"/>
      </w:rP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1892" w:y="-23"/>
      <w:rPr>
        <w:rStyle w:val="12"/>
        <w:rFonts w:ascii="宋体" w:hAnsi="宋体"/>
        <w:sz w:val="28"/>
        <w:szCs w:val="28"/>
      </w:rPr>
    </w:pPr>
    <w:r>
      <w:rPr>
        <w:rFonts w:ascii="宋体" w:hAnsi="宋体"/>
        <w:sz w:val="28"/>
        <w:szCs w:val="28"/>
      </w:rPr>
      <w:fldChar w:fldCharType="begin"/>
    </w:r>
    <w:r>
      <w:rPr>
        <w:rStyle w:val="12"/>
        <w:rFonts w:ascii="宋体" w:hAnsi="宋体"/>
        <w:sz w:val="28"/>
        <w:szCs w:val="28"/>
      </w:rPr>
      <w:instrText xml:space="preserve">PAGE  </w:instrText>
    </w:r>
    <w:r>
      <w:rPr>
        <w:rFonts w:ascii="宋体" w:hAnsi="宋体"/>
        <w:sz w:val="28"/>
        <w:szCs w:val="28"/>
      </w:rPr>
      <w:fldChar w:fldCharType="separate"/>
    </w:r>
    <w:r>
      <w:rPr>
        <w:rStyle w:val="12"/>
        <w:rFonts w:ascii="宋体" w:hAnsi="宋体"/>
        <w:sz w:val="28"/>
        <w:szCs w:val="28"/>
        <w:lang/>
      </w:rPr>
      <w:t>- 2 -</w:t>
    </w:r>
    <w:r>
      <w:rPr>
        <w:rFonts w:ascii="宋体" w:hAnsi="宋体"/>
        <w:sz w:val="28"/>
        <w:szCs w:val="28"/>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7C"/>
    <w:rsid w:val="0000053B"/>
    <w:rsid w:val="00000BC8"/>
    <w:rsid w:val="00000D35"/>
    <w:rsid w:val="00000E8A"/>
    <w:rsid w:val="00001A5E"/>
    <w:rsid w:val="00006B11"/>
    <w:rsid w:val="0001025F"/>
    <w:rsid w:val="00010E72"/>
    <w:rsid w:val="00010FBD"/>
    <w:rsid w:val="000134B5"/>
    <w:rsid w:val="0001572E"/>
    <w:rsid w:val="0001671F"/>
    <w:rsid w:val="0001751F"/>
    <w:rsid w:val="00017973"/>
    <w:rsid w:val="00017C56"/>
    <w:rsid w:val="00017C8E"/>
    <w:rsid w:val="00021290"/>
    <w:rsid w:val="00022128"/>
    <w:rsid w:val="000228A4"/>
    <w:rsid w:val="00024FC9"/>
    <w:rsid w:val="00025291"/>
    <w:rsid w:val="000271DF"/>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126F"/>
    <w:rsid w:val="00082970"/>
    <w:rsid w:val="0008397E"/>
    <w:rsid w:val="00090E87"/>
    <w:rsid w:val="00090EB2"/>
    <w:rsid w:val="000918A1"/>
    <w:rsid w:val="00097E64"/>
    <w:rsid w:val="000A0104"/>
    <w:rsid w:val="000A1E68"/>
    <w:rsid w:val="000A2307"/>
    <w:rsid w:val="000A26F8"/>
    <w:rsid w:val="000A300D"/>
    <w:rsid w:val="000A3DA4"/>
    <w:rsid w:val="000A51DB"/>
    <w:rsid w:val="000A7F88"/>
    <w:rsid w:val="000B0241"/>
    <w:rsid w:val="000B182B"/>
    <w:rsid w:val="000B2C2B"/>
    <w:rsid w:val="000B318D"/>
    <w:rsid w:val="000B483E"/>
    <w:rsid w:val="000B76CD"/>
    <w:rsid w:val="000C261D"/>
    <w:rsid w:val="000C2C90"/>
    <w:rsid w:val="000D1918"/>
    <w:rsid w:val="000D2276"/>
    <w:rsid w:val="000D46E6"/>
    <w:rsid w:val="000D4B7C"/>
    <w:rsid w:val="000D736A"/>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CF9"/>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3E4"/>
    <w:rsid w:val="00146D53"/>
    <w:rsid w:val="00147907"/>
    <w:rsid w:val="00151C4B"/>
    <w:rsid w:val="00151F28"/>
    <w:rsid w:val="001520DB"/>
    <w:rsid w:val="00153017"/>
    <w:rsid w:val="00155A0E"/>
    <w:rsid w:val="001602EE"/>
    <w:rsid w:val="001608F4"/>
    <w:rsid w:val="00163FB0"/>
    <w:rsid w:val="0016554C"/>
    <w:rsid w:val="00166461"/>
    <w:rsid w:val="0016715A"/>
    <w:rsid w:val="001679C2"/>
    <w:rsid w:val="00170824"/>
    <w:rsid w:val="0017273F"/>
    <w:rsid w:val="00172ABF"/>
    <w:rsid w:val="00173AA9"/>
    <w:rsid w:val="001777DD"/>
    <w:rsid w:val="00177B68"/>
    <w:rsid w:val="00180CF8"/>
    <w:rsid w:val="00182DBF"/>
    <w:rsid w:val="00183AA6"/>
    <w:rsid w:val="001844AF"/>
    <w:rsid w:val="00184638"/>
    <w:rsid w:val="00187037"/>
    <w:rsid w:val="00191251"/>
    <w:rsid w:val="00194319"/>
    <w:rsid w:val="001948D4"/>
    <w:rsid w:val="00197198"/>
    <w:rsid w:val="001A0A30"/>
    <w:rsid w:val="001A102B"/>
    <w:rsid w:val="001A2BD2"/>
    <w:rsid w:val="001A3639"/>
    <w:rsid w:val="001A72B0"/>
    <w:rsid w:val="001B1C76"/>
    <w:rsid w:val="001B2E25"/>
    <w:rsid w:val="001B3139"/>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E7EB0"/>
    <w:rsid w:val="001F077E"/>
    <w:rsid w:val="001F083F"/>
    <w:rsid w:val="001F275C"/>
    <w:rsid w:val="001F4B62"/>
    <w:rsid w:val="001F53DE"/>
    <w:rsid w:val="001F7C72"/>
    <w:rsid w:val="002014F1"/>
    <w:rsid w:val="002016DC"/>
    <w:rsid w:val="00202305"/>
    <w:rsid w:val="002037DD"/>
    <w:rsid w:val="00203FE2"/>
    <w:rsid w:val="00205C6F"/>
    <w:rsid w:val="002112BA"/>
    <w:rsid w:val="00211B40"/>
    <w:rsid w:val="0021430F"/>
    <w:rsid w:val="0022010B"/>
    <w:rsid w:val="00220962"/>
    <w:rsid w:val="00222BE8"/>
    <w:rsid w:val="00225BC5"/>
    <w:rsid w:val="00226765"/>
    <w:rsid w:val="002301CC"/>
    <w:rsid w:val="00230DF7"/>
    <w:rsid w:val="00233CA4"/>
    <w:rsid w:val="00237D8D"/>
    <w:rsid w:val="002415E6"/>
    <w:rsid w:val="00243573"/>
    <w:rsid w:val="002438BD"/>
    <w:rsid w:val="00244F58"/>
    <w:rsid w:val="00246EB7"/>
    <w:rsid w:val="002502FA"/>
    <w:rsid w:val="002508F6"/>
    <w:rsid w:val="00253497"/>
    <w:rsid w:val="00253505"/>
    <w:rsid w:val="002537D8"/>
    <w:rsid w:val="00253D8D"/>
    <w:rsid w:val="00254C91"/>
    <w:rsid w:val="0026009A"/>
    <w:rsid w:val="00260B18"/>
    <w:rsid w:val="00261C1B"/>
    <w:rsid w:val="00261CA3"/>
    <w:rsid w:val="00263BB4"/>
    <w:rsid w:val="0026460A"/>
    <w:rsid w:val="00264B5A"/>
    <w:rsid w:val="00265F33"/>
    <w:rsid w:val="002701FE"/>
    <w:rsid w:val="00271599"/>
    <w:rsid w:val="002750B4"/>
    <w:rsid w:val="002755E6"/>
    <w:rsid w:val="00277086"/>
    <w:rsid w:val="002772FE"/>
    <w:rsid w:val="0027732C"/>
    <w:rsid w:val="00284880"/>
    <w:rsid w:val="00284EF4"/>
    <w:rsid w:val="00286092"/>
    <w:rsid w:val="00290135"/>
    <w:rsid w:val="00294F4F"/>
    <w:rsid w:val="0029606D"/>
    <w:rsid w:val="002973C7"/>
    <w:rsid w:val="002A0CAD"/>
    <w:rsid w:val="002A0E38"/>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2FE"/>
    <w:rsid w:val="002C4FC3"/>
    <w:rsid w:val="002C5B09"/>
    <w:rsid w:val="002D0563"/>
    <w:rsid w:val="002D063C"/>
    <w:rsid w:val="002D24B0"/>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2008"/>
    <w:rsid w:val="003340DF"/>
    <w:rsid w:val="00334343"/>
    <w:rsid w:val="003347A0"/>
    <w:rsid w:val="00336F88"/>
    <w:rsid w:val="00340FF0"/>
    <w:rsid w:val="00341A6E"/>
    <w:rsid w:val="00342CC3"/>
    <w:rsid w:val="00343E0C"/>
    <w:rsid w:val="00344DA3"/>
    <w:rsid w:val="00350923"/>
    <w:rsid w:val="00350F9A"/>
    <w:rsid w:val="00350F9C"/>
    <w:rsid w:val="00351987"/>
    <w:rsid w:val="00351F4C"/>
    <w:rsid w:val="00352A64"/>
    <w:rsid w:val="0035334E"/>
    <w:rsid w:val="003557E4"/>
    <w:rsid w:val="00361A29"/>
    <w:rsid w:val="0036715B"/>
    <w:rsid w:val="00367E4A"/>
    <w:rsid w:val="00371465"/>
    <w:rsid w:val="0037414E"/>
    <w:rsid w:val="0037427E"/>
    <w:rsid w:val="00375606"/>
    <w:rsid w:val="00380E6E"/>
    <w:rsid w:val="00381A7A"/>
    <w:rsid w:val="00385438"/>
    <w:rsid w:val="0038779F"/>
    <w:rsid w:val="003878A5"/>
    <w:rsid w:val="00390619"/>
    <w:rsid w:val="00390C49"/>
    <w:rsid w:val="0039202C"/>
    <w:rsid w:val="00392B94"/>
    <w:rsid w:val="00393F4B"/>
    <w:rsid w:val="00394377"/>
    <w:rsid w:val="003948FC"/>
    <w:rsid w:val="0039548E"/>
    <w:rsid w:val="0039581E"/>
    <w:rsid w:val="003978C8"/>
    <w:rsid w:val="003A0463"/>
    <w:rsid w:val="003A0C24"/>
    <w:rsid w:val="003A2485"/>
    <w:rsid w:val="003A264D"/>
    <w:rsid w:val="003A31A0"/>
    <w:rsid w:val="003A326C"/>
    <w:rsid w:val="003A3696"/>
    <w:rsid w:val="003A42FA"/>
    <w:rsid w:val="003A5841"/>
    <w:rsid w:val="003A6755"/>
    <w:rsid w:val="003A7348"/>
    <w:rsid w:val="003B1AA3"/>
    <w:rsid w:val="003B32B0"/>
    <w:rsid w:val="003B59D9"/>
    <w:rsid w:val="003C1EB9"/>
    <w:rsid w:val="003C3249"/>
    <w:rsid w:val="003C3EA0"/>
    <w:rsid w:val="003C419C"/>
    <w:rsid w:val="003C41EC"/>
    <w:rsid w:val="003C4942"/>
    <w:rsid w:val="003D01EF"/>
    <w:rsid w:val="003D14CC"/>
    <w:rsid w:val="003D3B34"/>
    <w:rsid w:val="003D46AE"/>
    <w:rsid w:val="003E0703"/>
    <w:rsid w:val="003E2BDB"/>
    <w:rsid w:val="003E323B"/>
    <w:rsid w:val="003E39D4"/>
    <w:rsid w:val="003E549A"/>
    <w:rsid w:val="003E5A89"/>
    <w:rsid w:val="003E6844"/>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27DBF"/>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88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2EA7"/>
    <w:rsid w:val="004C4F15"/>
    <w:rsid w:val="004C61B8"/>
    <w:rsid w:val="004C7700"/>
    <w:rsid w:val="004D028D"/>
    <w:rsid w:val="004D2D64"/>
    <w:rsid w:val="004D3D71"/>
    <w:rsid w:val="004D4063"/>
    <w:rsid w:val="004D4FBD"/>
    <w:rsid w:val="004E1031"/>
    <w:rsid w:val="004E16F4"/>
    <w:rsid w:val="004E2788"/>
    <w:rsid w:val="004E28A4"/>
    <w:rsid w:val="004E3E2A"/>
    <w:rsid w:val="004E441F"/>
    <w:rsid w:val="004E45FA"/>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06C46"/>
    <w:rsid w:val="0051102B"/>
    <w:rsid w:val="0051110B"/>
    <w:rsid w:val="00511BA9"/>
    <w:rsid w:val="00512E20"/>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952"/>
    <w:rsid w:val="00576B9B"/>
    <w:rsid w:val="005775A5"/>
    <w:rsid w:val="00577A94"/>
    <w:rsid w:val="00577CD6"/>
    <w:rsid w:val="00581C4B"/>
    <w:rsid w:val="005820C9"/>
    <w:rsid w:val="00582B89"/>
    <w:rsid w:val="00582F58"/>
    <w:rsid w:val="005847C1"/>
    <w:rsid w:val="005900D2"/>
    <w:rsid w:val="005903E6"/>
    <w:rsid w:val="005906A6"/>
    <w:rsid w:val="00590E74"/>
    <w:rsid w:val="00593B63"/>
    <w:rsid w:val="005A1F8D"/>
    <w:rsid w:val="005A2610"/>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60C"/>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374D"/>
    <w:rsid w:val="0063404D"/>
    <w:rsid w:val="00637C57"/>
    <w:rsid w:val="00640710"/>
    <w:rsid w:val="00642967"/>
    <w:rsid w:val="00643C82"/>
    <w:rsid w:val="0065498C"/>
    <w:rsid w:val="00655583"/>
    <w:rsid w:val="00655D38"/>
    <w:rsid w:val="00657A43"/>
    <w:rsid w:val="0066064E"/>
    <w:rsid w:val="00660860"/>
    <w:rsid w:val="00660A85"/>
    <w:rsid w:val="00660BC7"/>
    <w:rsid w:val="0066177F"/>
    <w:rsid w:val="00661D00"/>
    <w:rsid w:val="00661FD1"/>
    <w:rsid w:val="0066305E"/>
    <w:rsid w:val="006631A6"/>
    <w:rsid w:val="006635EA"/>
    <w:rsid w:val="0066581C"/>
    <w:rsid w:val="00670F37"/>
    <w:rsid w:val="00671A69"/>
    <w:rsid w:val="00674510"/>
    <w:rsid w:val="0067548C"/>
    <w:rsid w:val="0068029A"/>
    <w:rsid w:val="00684358"/>
    <w:rsid w:val="0068620D"/>
    <w:rsid w:val="00686D4F"/>
    <w:rsid w:val="00687BC5"/>
    <w:rsid w:val="00691763"/>
    <w:rsid w:val="0069233D"/>
    <w:rsid w:val="006A28D5"/>
    <w:rsid w:val="006A3076"/>
    <w:rsid w:val="006A3B57"/>
    <w:rsid w:val="006A4BE5"/>
    <w:rsid w:val="006A55AD"/>
    <w:rsid w:val="006A65EF"/>
    <w:rsid w:val="006B5341"/>
    <w:rsid w:val="006C492D"/>
    <w:rsid w:val="006C6369"/>
    <w:rsid w:val="006D2826"/>
    <w:rsid w:val="006D44DF"/>
    <w:rsid w:val="006D582C"/>
    <w:rsid w:val="006D6106"/>
    <w:rsid w:val="006D63DE"/>
    <w:rsid w:val="006E16EF"/>
    <w:rsid w:val="006E58B8"/>
    <w:rsid w:val="006E628F"/>
    <w:rsid w:val="006E7D08"/>
    <w:rsid w:val="006F0642"/>
    <w:rsid w:val="006F069F"/>
    <w:rsid w:val="006F0977"/>
    <w:rsid w:val="006F19A2"/>
    <w:rsid w:val="006F320A"/>
    <w:rsid w:val="006F3660"/>
    <w:rsid w:val="006F4AF1"/>
    <w:rsid w:val="006F6C03"/>
    <w:rsid w:val="006F793B"/>
    <w:rsid w:val="006F7A1E"/>
    <w:rsid w:val="007014BE"/>
    <w:rsid w:val="00704458"/>
    <w:rsid w:val="00706323"/>
    <w:rsid w:val="0070677A"/>
    <w:rsid w:val="00707093"/>
    <w:rsid w:val="00707748"/>
    <w:rsid w:val="00707A12"/>
    <w:rsid w:val="007103AB"/>
    <w:rsid w:val="007107BA"/>
    <w:rsid w:val="00710CE7"/>
    <w:rsid w:val="007164D7"/>
    <w:rsid w:val="007227D3"/>
    <w:rsid w:val="0072438A"/>
    <w:rsid w:val="00730BED"/>
    <w:rsid w:val="007327B6"/>
    <w:rsid w:val="00737112"/>
    <w:rsid w:val="007375F9"/>
    <w:rsid w:val="007377CC"/>
    <w:rsid w:val="00737822"/>
    <w:rsid w:val="007418CF"/>
    <w:rsid w:val="007443AD"/>
    <w:rsid w:val="00745BA7"/>
    <w:rsid w:val="00745F2F"/>
    <w:rsid w:val="007469D2"/>
    <w:rsid w:val="0074717E"/>
    <w:rsid w:val="007508F9"/>
    <w:rsid w:val="0075198B"/>
    <w:rsid w:val="007543DE"/>
    <w:rsid w:val="007566F0"/>
    <w:rsid w:val="00756A34"/>
    <w:rsid w:val="007604A3"/>
    <w:rsid w:val="00760780"/>
    <w:rsid w:val="00763624"/>
    <w:rsid w:val="0076441E"/>
    <w:rsid w:val="0076657F"/>
    <w:rsid w:val="00774B22"/>
    <w:rsid w:val="00777A09"/>
    <w:rsid w:val="007837F3"/>
    <w:rsid w:val="007904A7"/>
    <w:rsid w:val="00794C4E"/>
    <w:rsid w:val="007963A2"/>
    <w:rsid w:val="00796E9F"/>
    <w:rsid w:val="007A6F05"/>
    <w:rsid w:val="007B097B"/>
    <w:rsid w:val="007B6642"/>
    <w:rsid w:val="007C5CDC"/>
    <w:rsid w:val="007C6DEF"/>
    <w:rsid w:val="007C7C36"/>
    <w:rsid w:val="007D1C46"/>
    <w:rsid w:val="007D29CE"/>
    <w:rsid w:val="007D340E"/>
    <w:rsid w:val="007D3C5B"/>
    <w:rsid w:val="007D5A8A"/>
    <w:rsid w:val="007D62CA"/>
    <w:rsid w:val="007D66C2"/>
    <w:rsid w:val="007D765B"/>
    <w:rsid w:val="007E0BFD"/>
    <w:rsid w:val="007E158B"/>
    <w:rsid w:val="007E20CA"/>
    <w:rsid w:val="007E57F2"/>
    <w:rsid w:val="007F042D"/>
    <w:rsid w:val="007F0737"/>
    <w:rsid w:val="007F0940"/>
    <w:rsid w:val="007F19AC"/>
    <w:rsid w:val="007F1E3E"/>
    <w:rsid w:val="007F1E62"/>
    <w:rsid w:val="007F24F6"/>
    <w:rsid w:val="007F2A0D"/>
    <w:rsid w:val="007F2A7E"/>
    <w:rsid w:val="007F552B"/>
    <w:rsid w:val="007F63EC"/>
    <w:rsid w:val="00800C47"/>
    <w:rsid w:val="00801D7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487C"/>
    <w:rsid w:val="008359CC"/>
    <w:rsid w:val="00837152"/>
    <w:rsid w:val="00837596"/>
    <w:rsid w:val="00840886"/>
    <w:rsid w:val="008408A0"/>
    <w:rsid w:val="00846E88"/>
    <w:rsid w:val="008501A5"/>
    <w:rsid w:val="00854ADE"/>
    <w:rsid w:val="008576F0"/>
    <w:rsid w:val="00857C89"/>
    <w:rsid w:val="00857FB2"/>
    <w:rsid w:val="00857FE1"/>
    <w:rsid w:val="008611F2"/>
    <w:rsid w:val="0086125A"/>
    <w:rsid w:val="00861E1F"/>
    <w:rsid w:val="00861EE2"/>
    <w:rsid w:val="00862598"/>
    <w:rsid w:val="00864151"/>
    <w:rsid w:val="00865C0D"/>
    <w:rsid w:val="00867F1E"/>
    <w:rsid w:val="008707CA"/>
    <w:rsid w:val="00871650"/>
    <w:rsid w:val="00872A55"/>
    <w:rsid w:val="00873542"/>
    <w:rsid w:val="008754A4"/>
    <w:rsid w:val="00880C71"/>
    <w:rsid w:val="0088117B"/>
    <w:rsid w:val="00882531"/>
    <w:rsid w:val="00886FE4"/>
    <w:rsid w:val="0088714E"/>
    <w:rsid w:val="00887FA5"/>
    <w:rsid w:val="008926B7"/>
    <w:rsid w:val="0089561E"/>
    <w:rsid w:val="008A0590"/>
    <w:rsid w:val="008A26D9"/>
    <w:rsid w:val="008B063A"/>
    <w:rsid w:val="008B066F"/>
    <w:rsid w:val="008B2878"/>
    <w:rsid w:val="008B2A80"/>
    <w:rsid w:val="008B4122"/>
    <w:rsid w:val="008B534E"/>
    <w:rsid w:val="008B536E"/>
    <w:rsid w:val="008B5F79"/>
    <w:rsid w:val="008B61CE"/>
    <w:rsid w:val="008C2242"/>
    <w:rsid w:val="008C2BA1"/>
    <w:rsid w:val="008C2FFC"/>
    <w:rsid w:val="008C3D85"/>
    <w:rsid w:val="008D2512"/>
    <w:rsid w:val="008D3423"/>
    <w:rsid w:val="008D416F"/>
    <w:rsid w:val="008D6580"/>
    <w:rsid w:val="008E1E2A"/>
    <w:rsid w:val="008E277B"/>
    <w:rsid w:val="008E3748"/>
    <w:rsid w:val="008E45DE"/>
    <w:rsid w:val="008E7017"/>
    <w:rsid w:val="008E765D"/>
    <w:rsid w:val="008F733C"/>
    <w:rsid w:val="00904292"/>
    <w:rsid w:val="00910626"/>
    <w:rsid w:val="00910AC9"/>
    <w:rsid w:val="00910EF4"/>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84D"/>
    <w:rsid w:val="00930C66"/>
    <w:rsid w:val="00933AD4"/>
    <w:rsid w:val="00933FEE"/>
    <w:rsid w:val="00935D37"/>
    <w:rsid w:val="00936389"/>
    <w:rsid w:val="00940633"/>
    <w:rsid w:val="009413D6"/>
    <w:rsid w:val="009418C7"/>
    <w:rsid w:val="00942DC2"/>
    <w:rsid w:val="009433EF"/>
    <w:rsid w:val="00943770"/>
    <w:rsid w:val="0094465F"/>
    <w:rsid w:val="00947975"/>
    <w:rsid w:val="00956CA1"/>
    <w:rsid w:val="00957B60"/>
    <w:rsid w:val="00957FC8"/>
    <w:rsid w:val="0096020A"/>
    <w:rsid w:val="00960DBD"/>
    <w:rsid w:val="00960E8B"/>
    <w:rsid w:val="009618C6"/>
    <w:rsid w:val="00964948"/>
    <w:rsid w:val="0096652B"/>
    <w:rsid w:val="00967743"/>
    <w:rsid w:val="009700AC"/>
    <w:rsid w:val="00970E4B"/>
    <w:rsid w:val="0097162D"/>
    <w:rsid w:val="0097473C"/>
    <w:rsid w:val="00974D3A"/>
    <w:rsid w:val="0097594A"/>
    <w:rsid w:val="00977B8C"/>
    <w:rsid w:val="00980419"/>
    <w:rsid w:val="00980D23"/>
    <w:rsid w:val="009818A2"/>
    <w:rsid w:val="00983562"/>
    <w:rsid w:val="00985E2D"/>
    <w:rsid w:val="00990379"/>
    <w:rsid w:val="0099164F"/>
    <w:rsid w:val="00994467"/>
    <w:rsid w:val="00994538"/>
    <w:rsid w:val="00995057"/>
    <w:rsid w:val="0099782D"/>
    <w:rsid w:val="00997D7A"/>
    <w:rsid w:val="009A323D"/>
    <w:rsid w:val="009A47F8"/>
    <w:rsid w:val="009A4D6E"/>
    <w:rsid w:val="009A54A9"/>
    <w:rsid w:val="009B0F62"/>
    <w:rsid w:val="009B4126"/>
    <w:rsid w:val="009B4573"/>
    <w:rsid w:val="009B52FF"/>
    <w:rsid w:val="009B5ABF"/>
    <w:rsid w:val="009B6906"/>
    <w:rsid w:val="009B6EFF"/>
    <w:rsid w:val="009B7AF2"/>
    <w:rsid w:val="009B7E26"/>
    <w:rsid w:val="009C0CFE"/>
    <w:rsid w:val="009C323E"/>
    <w:rsid w:val="009C3D15"/>
    <w:rsid w:val="009D16DF"/>
    <w:rsid w:val="009D1830"/>
    <w:rsid w:val="009D1AC9"/>
    <w:rsid w:val="009D1DF7"/>
    <w:rsid w:val="009D3B7A"/>
    <w:rsid w:val="009D417C"/>
    <w:rsid w:val="009D455E"/>
    <w:rsid w:val="009D63D7"/>
    <w:rsid w:val="009E41F1"/>
    <w:rsid w:val="009E43F2"/>
    <w:rsid w:val="009E481F"/>
    <w:rsid w:val="009E6969"/>
    <w:rsid w:val="009E7BF0"/>
    <w:rsid w:val="009F13D4"/>
    <w:rsid w:val="009F14F1"/>
    <w:rsid w:val="009F1CFB"/>
    <w:rsid w:val="009F1DFF"/>
    <w:rsid w:val="009F35D0"/>
    <w:rsid w:val="009F3B9B"/>
    <w:rsid w:val="009F57CB"/>
    <w:rsid w:val="009F5A1E"/>
    <w:rsid w:val="009F69BD"/>
    <w:rsid w:val="009F69DB"/>
    <w:rsid w:val="009F6E0B"/>
    <w:rsid w:val="00A0130C"/>
    <w:rsid w:val="00A013CD"/>
    <w:rsid w:val="00A0167E"/>
    <w:rsid w:val="00A027F4"/>
    <w:rsid w:val="00A029B9"/>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3B6B"/>
    <w:rsid w:val="00A26DD8"/>
    <w:rsid w:val="00A3282B"/>
    <w:rsid w:val="00A3667B"/>
    <w:rsid w:val="00A376BE"/>
    <w:rsid w:val="00A41CDE"/>
    <w:rsid w:val="00A42678"/>
    <w:rsid w:val="00A44782"/>
    <w:rsid w:val="00A51056"/>
    <w:rsid w:val="00A52ADA"/>
    <w:rsid w:val="00A54A96"/>
    <w:rsid w:val="00A54C2D"/>
    <w:rsid w:val="00A55F01"/>
    <w:rsid w:val="00A576AA"/>
    <w:rsid w:val="00A5779D"/>
    <w:rsid w:val="00A62053"/>
    <w:rsid w:val="00A66B95"/>
    <w:rsid w:val="00A67E61"/>
    <w:rsid w:val="00A746B2"/>
    <w:rsid w:val="00A74FC4"/>
    <w:rsid w:val="00A77242"/>
    <w:rsid w:val="00A8034A"/>
    <w:rsid w:val="00A80C04"/>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452"/>
    <w:rsid w:val="00AC4D0F"/>
    <w:rsid w:val="00AC6193"/>
    <w:rsid w:val="00AC685E"/>
    <w:rsid w:val="00AD04B0"/>
    <w:rsid w:val="00AD0907"/>
    <w:rsid w:val="00AD29ED"/>
    <w:rsid w:val="00AD4ACF"/>
    <w:rsid w:val="00AD5212"/>
    <w:rsid w:val="00AD57D5"/>
    <w:rsid w:val="00AE14C5"/>
    <w:rsid w:val="00AE2899"/>
    <w:rsid w:val="00AE36EC"/>
    <w:rsid w:val="00AE43B0"/>
    <w:rsid w:val="00AE4C6F"/>
    <w:rsid w:val="00AE5AAD"/>
    <w:rsid w:val="00AE5CC0"/>
    <w:rsid w:val="00AE688F"/>
    <w:rsid w:val="00AF0A6F"/>
    <w:rsid w:val="00AF10A6"/>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3D1A"/>
    <w:rsid w:val="00B15D33"/>
    <w:rsid w:val="00B162C3"/>
    <w:rsid w:val="00B22EA7"/>
    <w:rsid w:val="00B246E2"/>
    <w:rsid w:val="00B269DB"/>
    <w:rsid w:val="00B332D7"/>
    <w:rsid w:val="00B3342A"/>
    <w:rsid w:val="00B37D64"/>
    <w:rsid w:val="00B40DCF"/>
    <w:rsid w:val="00B41574"/>
    <w:rsid w:val="00B43C7B"/>
    <w:rsid w:val="00B4489A"/>
    <w:rsid w:val="00B4656E"/>
    <w:rsid w:val="00B46F99"/>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10"/>
    <w:rsid w:val="00B97680"/>
    <w:rsid w:val="00BA069E"/>
    <w:rsid w:val="00BA0EAF"/>
    <w:rsid w:val="00BA12FD"/>
    <w:rsid w:val="00BA1F94"/>
    <w:rsid w:val="00BA5845"/>
    <w:rsid w:val="00BA5DE0"/>
    <w:rsid w:val="00BA69BB"/>
    <w:rsid w:val="00BA7956"/>
    <w:rsid w:val="00BA7B67"/>
    <w:rsid w:val="00BB143A"/>
    <w:rsid w:val="00BB77ED"/>
    <w:rsid w:val="00BC07D9"/>
    <w:rsid w:val="00BC0F68"/>
    <w:rsid w:val="00BC367C"/>
    <w:rsid w:val="00BC5ACB"/>
    <w:rsid w:val="00BD0A62"/>
    <w:rsid w:val="00BD0B0A"/>
    <w:rsid w:val="00BD156F"/>
    <w:rsid w:val="00BD1AAA"/>
    <w:rsid w:val="00BD3403"/>
    <w:rsid w:val="00BD3778"/>
    <w:rsid w:val="00BD384E"/>
    <w:rsid w:val="00BD6CB8"/>
    <w:rsid w:val="00BE03FB"/>
    <w:rsid w:val="00BE0E92"/>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4ACD"/>
    <w:rsid w:val="00C05D5F"/>
    <w:rsid w:val="00C062CC"/>
    <w:rsid w:val="00C06C13"/>
    <w:rsid w:val="00C076E1"/>
    <w:rsid w:val="00C10609"/>
    <w:rsid w:val="00C1296E"/>
    <w:rsid w:val="00C12A01"/>
    <w:rsid w:val="00C12AE1"/>
    <w:rsid w:val="00C168B8"/>
    <w:rsid w:val="00C16B94"/>
    <w:rsid w:val="00C2004B"/>
    <w:rsid w:val="00C22AFA"/>
    <w:rsid w:val="00C22C36"/>
    <w:rsid w:val="00C24A34"/>
    <w:rsid w:val="00C275DE"/>
    <w:rsid w:val="00C34458"/>
    <w:rsid w:val="00C344E7"/>
    <w:rsid w:val="00C34C2B"/>
    <w:rsid w:val="00C35C4B"/>
    <w:rsid w:val="00C471EE"/>
    <w:rsid w:val="00C5090D"/>
    <w:rsid w:val="00C516A1"/>
    <w:rsid w:val="00C531FF"/>
    <w:rsid w:val="00C534A2"/>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913"/>
    <w:rsid w:val="00C77A95"/>
    <w:rsid w:val="00C80569"/>
    <w:rsid w:val="00C81A60"/>
    <w:rsid w:val="00C82864"/>
    <w:rsid w:val="00C86D95"/>
    <w:rsid w:val="00C903C3"/>
    <w:rsid w:val="00C9086C"/>
    <w:rsid w:val="00C91FF9"/>
    <w:rsid w:val="00C92F43"/>
    <w:rsid w:val="00C944E5"/>
    <w:rsid w:val="00C9558A"/>
    <w:rsid w:val="00C96FC0"/>
    <w:rsid w:val="00CA30D7"/>
    <w:rsid w:val="00CA4F90"/>
    <w:rsid w:val="00CB3AE8"/>
    <w:rsid w:val="00CB3EA3"/>
    <w:rsid w:val="00CB5D2C"/>
    <w:rsid w:val="00CC14E4"/>
    <w:rsid w:val="00CC2443"/>
    <w:rsid w:val="00CC3D5E"/>
    <w:rsid w:val="00CD1675"/>
    <w:rsid w:val="00CD2BD6"/>
    <w:rsid w:val="00CD399D"/>
    <w:rsid w:val="00CD4642"/>
    <w:rsid w:val="00CD5308"/>
    <w:rsid w:val="00CE162B"/>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24B6"/>
    <w:rsid w:val="00D252DC"/>
    <w:rsid w:val="00D3737D"/>
    <w:rsid w:val="00D37406"/>
    <w:rsid w:val="00D377BF"/>
    <w:rsid w:val="00D4207E"/>
    <w:rsid w:val="00D44386"/>
    <w:rsid w:val="00D444F3"/>
    <w:rsid w:val="00D4554B"/>
    <w:rsid w:val="00D530AF"/>
    <w:rsid w:val="00D54B07"/>
    <w:rsid w:val="00D55776"/>
    <w:rsid w:val="00D56BA3"/>
    <w:rsid w:val="00D60772"/>
    <w:rsid w:val="00D60B47"/>
    <w:rsid w:val="00D616FD"/>
    <w:rsid w:val="00D6281A"/>
    <w:rsid w:val="00D719F3"/>
    <w:rsid w:val="00D721B4"/>
    <w:rsid w:val="00D741C8"/>
    <w:rsid w:val="00D74F18"/>
    <w:rsid w:val="00D81C3D"/>
    <w:rsid w:val="00D82CD2"/>
    <w:rsid w:val="00D83463"/>
    <w:rsid w:val="00D83650"/>
    <w:rsid w:val="00D8692A"/>
    <w:rsid w:val="00D87EE7"/>
    <w:rsid w:val="00D91482"/>
    <w:rsid w:val="00D92182"/>
    <w:rsid w:val="00D9267E"/>
    <w:rsid w:val="00D92D78"/>
    <w:rsid w:val="00D932EE"/>
    <w:rsid w:val="00D94B63"/>
    <w:rsid w:val="00D94EA0"/>
    <w:rsid w:val="00D96622"/>
    <w:rsid w:val="00D9708A"/>
    <w:rsid w:val="00D97AB1"/>
    <w:rsid w:val="00DA1925"/>
    <w:rsid w:val="00DA35CA"/>
    <w:rsid w:val="00DA6BF4"/>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DF79DC"/>
    <w:rsid w:val="00E0152C"/>
    <w:rsid w:val="00E041EC"/>
    <w:rsid w:val="00E05300"/>
    <w:rsid w:val="00E06B2D"/>
    <w:rsid w:val="00E06E06"/>
    <w:rsid w:val="00E106A7"/>
    <w:rsid w:val="00E108C6"/>
    <w:rsid w:val="00E111D1"/>
    <w:rsid w:val="00E11B6D"/>
    <w:rsid w:val="00E11FB2"/>
    <w:rsid w:val="00E12664"/>
    <w:rsid w:val="00E1274D"/>
    <w:rsid w:val="00E13203"/>
    <w:rsid w:val="00E135BE"/>
    <w:rsid w:val="00E13CA2"/>
    <w:rsid w:val="00E14D5C"/>
    <w:rsid w:val="00E15AF3"/>
    <w:rsid w:val="00E161D1"/>
    <w:rsid w:val="00E1689F"/>
    <w:rsid w:val="00E17254"/>
    <w:rsid w:val="00E212BE"/>
    <w:rsid w:val="00E21A1E"/>
    <w:rsid w:val="00E21FA4"/>
    <w:rsid w:val="00E22D24"/>
    <w:rsid w:val="00E22F24"/>
    <w:rsid w:val="00E2382F"/>
    <w:rsid w:val="00E24E5D"/>
    <w:rsid w:val="00E2561E"/>
    <w:rsid w:val="00E27A7C"/>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316"/>
    <w:rsid w:val="00E80617"/>
    <w:rsid w:val="00E8163D"/>
    <w:rsid w:val="00E85B61"/>
    <w:rsid w:val="00E87088"/>
    <w:rsid w:val="00E941F7"/>
    <w:rsid w:val="00E95E66"/>
    <w:rsid w:val="00E966C3"/>
    <w:rsid w:val="00E97D6F"/>
    <w:rsid w:val="00E97EB0"/>
    <w:rsid w:val="00EA42FC"/>
    <w:rsid w:val="00EA5D2D"/>
    <w:rsid w:val="00EB0D34"/>
    <w:rsid w:val="00EB67DA"/>
    <w:rsid w:val="00EC29B6"/>
    <w:rsid w:val="00EC6399"/>
    <w:rsid w:val="00EC7B6C"/>
    <w:rsid w:val="00ED00C1"/>
    <w:rsid w:val="00ED059D"/>
    <w:rsid w:val="00ED11DD"/>
    <w:rsid w:val="00ED3579"/>
    <w:rsid w:val="00ED36C0"/>
    <w:rsid w:val="00ED6EE5"/>
    <w:rsid w:val="00ED7EF1"/>
    <w:rsid w:val="00EE47D9"/>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286"/>
    <w:rsid w:val="00F20D57"/>
    <w:rsid w:val="00F22550"/>
    <w:rsid w:val="00F23334"/>
    <w:rsid w:val="00F25613"/>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348E"/>
    <w:rsid w:val="00F768AB"/>
    <w:rsid w:val="00F76A08"/>
    <w:rsid w:val="00F81D9A"/>
    <w:rsid w:val="00F82F64"/>
    <w:rsid w:val="00F85DCD"/>
    <w:rsid w:val="00F875D2"/>
    <w:rsid w:val="00F87818"/>
    <w:rsid w:val="00F90490"/>
    <w:rsid w:val="00F93577"/>
    <w:rsid w:val="00F94A07"/>
    <w:rsid w:val="00F94AE4"/>
    <w:rsid w:val="00F97389"/>
    <w:rsid w:val="00F976AC"/>
    <w:rsid w:val="00F97B09"/>
    <w:rsid w:val="00FA12AD"/>
    <w:rsid w:val="00FA15F2"/>
    <w:rsid w:val="00FA1C85"/>
    <w:rsid w:val="00FA3864"/>
    <w:rsid w:val="00FA43C3"/>
    <w:rsid w:val="00FA48E5"/>
    <w:rsid w:val="00FA6964"/>
    <w:rsid w:val="00FA6D1C"/>
    <w:rsid w:val="00FB19A9"/>
    <w:rsid w:val="00FB629D"/>
    <w:rsid w:val="00FC097D"/>
    <w:rsid w:val="00FC0A54"/>
    <w:rsid w:val="00FC2F2E"/>
    <w:rsid w:val="00FC3A41"/>
    <w:rsid w:val="00FD314F"/>
    <w:rsid w:val="00FD3F68"/>
    <w:rsid w:val="00FD6099"/>
    <w:rsid w:val="00FD668C"/>
    <w:rsid w:val="00FD6BBF"/>
    <w:rsid w:val="00FD707C"/>
    <w:rsid w:val="00FE3D93"/>
    <w:rsid w:val="00FE51BD"/>
    <w:rsid w:val="00FE5DC3"/>
    <w:rsid w:val="00FE6F80"/>
    <w:rsid w:val="00FF1779"/>
    <w:rsid w:val="00FF1981"/>
    <w:rsid w:val="00FF2340"/>
    <w:rsid w:val="00FF60C7"/>
    <w:rsid w:val="00FF7392"/>
    <w:rsid w:val="011B684E"/>
    <w:rsid w:val="01F47448"/>
    <w:rsid w:val="023B43DC"/>
    <w:rsid w:val="04F54B1D"/>
    <w:rsid w:val="074D26E8"/>
    <w:rsid w:val="091068C4"/>
    <w:rsid w:val="099B5559"/>
    <w:rsid w:val="0ACD69C7"/>
    <w:rsid w:val="0E184C04"/>
    <w:rsid w:val="0F0F74A0"/>
    <w:rsid w:val="10AA3895"/>
    <w:rsid w:val="110F26B1"/>
    <w:rsid w:val="13404ED0"/>
    <w:rsid w:val="14F609D3"/>
    <w:rsid w:val="16C54348"/>
    <w:rsid w:val="1A7D41CF"/>
    <w:rsid w:val="1CBD12C4"/>
    <w:rsid w:val="1F585F22"/>
    <w:rsid w:val="1FB95E07"/>
    <w:rsid w:val="1FD3237E"/>
    <w:rsid w:val="21CE0EBF"/>
    <w:rsid w:val="23C96C3F"/>
    <w:rsid w:val="24485B15"/>
    <w:rsid w:val="263D3CFD"/>
    <w:rsid w:val="27AF1E20"/>
    <w:rsid w:val="2ABD478E"/>
    <w:rsid w:val="33597E66"/>
    <w:rsid w:val="33EFB69F"/>
    <w:rsid w:val="350265F4"/>
    <w:rsid w:val="37DC7E60"/>
    <w:rsid w:val="3FBA7627"/>
    <w:rsid w:val="404D5DA4"/>
    <w:rsid w:val="421E3855"/>
    <w:rsid w:val="4224574B"/>
    <w:rsid w:val="456E4695"/>
    <w:rsid w:val="4598334E"/>
    <w:rsid w:val="4755648B"/>
    <w:rsid w:val="499C5448"/>
    <w:rsid w:val="49A70326"/>
    <w:rsid w:val="4A456A7E"/>
    <w:rsid w:val="4BB12688"/>
    <w:rsid w:val="4C026F7B"/>
    <w:rsid w:val="4DCA0DBF"/>
    <w:rsid w:val="51650C56"/>
    <w:rsid w:val="5512106C"/>
    <w:rsid w:val="55D76EF7"/>
    <w:rsid w:val="5AF0064E"/>
    <w:rsid w:val="5BAE3879"/>
    <w:rsid w:val="5FF947E3"/>
    <w:rsid w:val="63747274"/>
    <w:rsid w:val="63DD5C94"/>
    <w:rsid w:val="64B86B45"/>
    <w:rsid w:val="662933E5"/>
    <w:rsid w:val="67DF047B"/>
    <w:rsid w:val="69777E1A"/>
    <w:rsid w:val="6A44394C"/>
    <w:rsid w:val="6EE77388"/>
    <w:rsid w:val="6F2C465B"/>
    <w:rsid w:val="718B5694"/>
    <w:rsid w:val="719F311C"/>
    <w:rsid w:val="71F77DFC"/>
    <w:rsid w:val="73526D1F"/>
    <w:rsid w:val="76F31CA4"/>
    <w:rsid w:val="79AE4296"/>
    <w:rsid w:val="7CF3D79F"/>
    <w:rsid w:val="7D107C2B"/>
    <w:rsid w:val="7D164783"/>
    <w:rsid w:val="7E960D71"/>
    <w:rsid w:val="7EBC7F00"/>
    <w:rsid w:val="7EDFF9EB"/>
    <w:rsid w:val="B7975436"/>
    <w:rsid w:val="BF3F9300"/>
    <w:rsid w:val="BFDF82C0"/>
    <w:rsid w:val="F8B5E619"/>
    <w:rsid w:val="F9FBB009"/>
    <w:rsid w:val="FF770CED"/>
    <w:rsid w:val="FFFF6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1">
    <w:name w:val="Default Paragraph Font"/>
    <w:semiHidden/>
    <w:uiPriority w:val="0"/>
  </w:style>
  <w:style w:type="table" w:default="1" w:styleId="9">
    <w:name w:val="Normal Table"/>
    <w:semiHidden/>
    <w:uiPriority w:val="0"/>
    <w:tblPr>
      <w:tblStyle w:val="9"/>
      <w:tblLayout w:type="fixed"/>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Body Text"/>
    <w:basedOn w:val="1"/>
    <w:next w:val="1"/>
    <w:uiPriority w:val="0"/>
    <w:pPr>
      <w:spacing w:after="120" w:afterLines="0" w:afterAutospacing="0"/>
    </w:pPr>
    <w:rPr>
      <w:rFonts w:ascii="Times New Roman" w:hAnsi="Times New Roman" w:eastAsia="宋体" w:cs="Times New Roman"/>
      <w:szCs w:val="22"/>
      <w:lang w:bidi="ar-SA"/>
    </w:rPr>
  </w:style>
  <w:style w:type="paragraph" w:styleId="4">
    <w:name w:val="Date"/>
    <w:basedOn w:val="1"/>
    <w:next w:val="1"/>
    <w:link w:val="13"/>
    <w:uiPriority w:val="0"/>
    <w:pPr>
      <w:ind w:left="100" w:leftChars="2500"/>
    </w:pPr>
    <w:rPr>
      <w:rFonts w:ascii="仿宋_GB2312" w:eastAsia="仿宋_GB2312"/>
      <w:sz w:val="32"/>
    </w:rPr>
  </w:style>
  <w:style w:type="paragraph" w:styleId="5">
    <w:name w:val="Balloon Text"/>
    <w:basedOn w:val="1"/>
    <w:link w:val="14"/>
    <w:semiHidden/>
    <w:uiPriority w:val="0"/>
    <w:rPr>
      <w:sz w:val="18"/>
      <w:szCs w:val="18"/>
    </w:rPr>
  </w:style>
  <w:style w:type="paragraph" w:styleId="6">
    <w:name w:val="footer"/>
    <w:basedOn w:val="1"/>
    <w:link w:val="15"/>
    <w:uiPriority w:val="0"/>
    <w:pPr>
      <w:tabs>
        <w:tab w:val="center" w:pos="4153"/>
        <w:tab w:val="right" w:pos="8306"/>
      </w:tabs>
      <w:snapToGrid w:val="0"/>
      <w:jc w:val="left"/>
    </w:pPr>
    <w:rPr>
      <w:sz w:val="18"/>
      <w:szCs w:val="18"/>
    </w:rPr>
  </w:style>
  <w:style w:type="paragraph" w:styleId="7">
    <w:name w:val="header"/>
    <w:basedOn w:val="1"/>
    <w:link w:val="16"/>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w:basedOn w:val="3"/>
    <w:next w:val="1"/>
    <w:uiPriority w:val="0"/>
    <w:pPr>
      <w:ind w:firstLine="420" w:firstLineChars="100"/>
    </w:pPr>
    <w:rPr>
      <w:rFonts w:ascii="Times New Roman" w:hAnsi="Times New Roman" w:eastAsia="宋体" w:cs="Times New Roman"/>
    </w:rPr>
  </w:style>
  <w:style w:type="table" w:styleId="10">
    <w:name w:val="Table Grid"/>
    <w:basedOn w:val="9"/>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page number"/>
    <w:basedOn w:val="11"/>
    <w:uiPriority w:val="0"/>
  </w:style>
  <w:style w:type="character" w:customStyle="1" w:styleId="13">
    <w:name w:val=" Char Char2"/>
    <w:basedOn w:val="11"/>
    <w:link w:val="4"/>
    <w:uiPriority w:val="0"/>
    <w:rPr>
      <w:rFonts w:ascii="仿宋_GB2312" w:hAnsi="Times New Roman" w:eastAsia="仿宋_GB2312" w:cs="Times New Roman"/>
      <w:kern w:val="2"/>
      <w:sz w:val="32"/>
      <w:szCs w:val="24"/>
      <w:lang w:bidi="ar-SA"/>
    </w:rPr>
  </w:style>
  <w:style w:type="character" w:customStyle="1" w:styleId="14">
    <w:name w:val="批注框文本 字符"/>
    <w:basedOn w:val="11"/>
    <w:link w:val="5"/>
    <w:semiHidden/>
    <w:qFormat/>
    <w:uiPriority w:val="99"/>
    <w:rPr>
      <w:rFonts w:ascii="Times New Roman" w:hAnsi="Times New Roman" w:eastAsia="宋体" w:cs="Times New Roman"/>
      <w:sz w:val="18"/>
      <w:szCs w:val="18"/>
    </w:rPr>
  </w:style>
  <w:style w:type="character" w:customStyle="1" w:styleId="15">
    <w:name w:val=" Char Char"/>
    <w:basedOn w:val="11"/>
    <w:link w:val="6"/>
    <w:semiHidden/>
    <w:uiPriority w:val="99"/>
    <w:rPr>
      <w:rFonts w:ascii="Calibri" w:hAnsi="Calibri" w:eastAsia="宋体" w:cs="Mongolian Baiti"/>
      <w:kern w:val="2"/>
      <w:sz w:val="18"/>
      <w:szCs w:val="22"/>
    </w:rPr>
  </w:style>
  <w:style w:type="character" w:customStyle="1" w:styleId="16">
    <w:name w:val=" Char Char1"/>
    <w:basedOn w:val="11"/>
    <w:link w:val="7"/>
    <w:semiHidden/>
    <w:uiPriority w:val="99"/>
    <w:rPr>
      <w:rFonts w:ascii="Calibri" w:hAnsi="Calibri" w:eastAsia="宋体" w:cs="Mongolian Baiti"/>
      <w:kern w:val="2"/>
      <w:sz w:val="18"/>
      <w:szCs w:val="22"/>
    </w:rPr>
  </w:style>
  <w:style w:type="character" w:customStyle="1" w:styleId="17">
    <w:name w:val="页脚 字符"/>
    <w:basedOn w:val="11"/>
    <w:qFormat/>
    <w:uiPriority w:val="99"/>
    <w:rPr>
      <w:rFonts w:ascii="Times New Roman" w:hAnsi="Times New Roman" w:eastAsia="宋体" w:cs="Times New Roman"/>
      <w:kern w:val="2"/>
      <w:sz w:val="18"/>
      <w:szCs w:val="18"/>
    </w:rPr>
  </w:style>
  <w:style w:type="character" w:customStyle="1" w:styleId="18">
    <w:name w:val="页眉 字符"/>
    <w:basedOn w:val="11"/>
    <w:qFormat/>
    <w:uiPriority w:val="99"/>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0</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哈斯高娃:通知发起人</cp:lastModifiedBy>
  <cp:lastPrinted>2025-06-13T17:05:20Z</cp:lastPrinted>
  <dcterms:modified xsi:type="dcterms:W3CDTF">2025-06-19T06:40:20Z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