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黑体" w:hAnsi="黑体" w:eastAsia="黑体" w:cs="黑体"/>
          <w:sz w:val="32"/>
          <w:szCs w:val="32"/>
          <w:u w:val="none"/>
        </w:rPr>
      </w:pPr>
      <w:r>
        <w:rPr>
          <w:rFonts w:hint="eastAsia" w:ascii="黑体" w:hAnsi="黑体" w:eastAsia="黑体" w:cs="黑体"/>
          <w:sz w:val="32"/>
          <w:szCs w:val="32"/>
          <w:u w:val="none"/>
        </w:rPr>
        <w:t>附件2</w:t>
      </w:r>
    </w:p>
    <w:p>
      <w:pPr>
        <w:keepNext w:val="0"/>
        <w:keepLines w:val="0"/>
        <w:pageBreakBefore w:val="0"/>
        <w:widowControl w:val="0"/>
        <w:kinsoku/>
        <w:wordWrap/>
        <w:overflowPunct/>
        <w:topLinePunct/>
        <w:autoSpaceDE/>
        <w:autoSpaceDN/>
        <w:bidi w:val="0"/>
        <w:adjustRightInd/>
        <w:snapToGrid/>
        <w:spacing w:line="580" w:lineRule="exact"/>
        <w:jc w:val="both"/>
        <w:textAlignment w:val="auto"/>
        <w:rPr>
          <w:rFonts w:hint="eastAsia" w:ascii="方正仿宋简体" w:hAnsi="方正仿宋简体" w:eastAsia="方正仿宋简体" w:cs="方正仿宋简体"/>
          <w:sz w:val="28"/>
          <w:szCs w:val="28"/>
          <w:u w:val="none"/>
        </w:rPr>
      </w:pP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内蒙古自治区绿色矿山申报评估</w:t>
      </w:r>
    </w:p>
    <w:p>
      <w:pPr>
        <w:keepNext w:val="0"/>
        <w:keepLines w:val="0"/>
        <w:pageBreakBefore w:val="0"/>
        <w:widowControl w:val="0"/>
        <w:kinsoku/>
        <w:wordWrap/>
        <w:overflowPunct/>
        <w:topLinePunct/>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遴选及动态管理要求</w:t>
      </w:r>
    </w:p>
    <w:p>
      <w:pPr>
        <w:keepNext w:val="0"/>
        <w:keepLines w:val="0"/>
        <w:pageBreakBefore w:val="0"/>
        <w:widowControl w:val="0"/>
        <w:kinsoku/>
        <w:wordWrap/>
        <w:overflowPunct/>
        <w:topLinePunct/>
        <w:autoSpaceDE/>
        <w:autoSpaceDN/>
        <w:bidi w:val="0"/>
        <w:adjustRightInd/>
        <w:snapToGrid/>
        <w:spacing w:line="580" w:lineRule="exact"/>
        <w:ind w:firstLine="562" w:firstLineChars="200"/>
        <w:jc w:val="both"/>
        <w:textAlignment w:val="auto"/>
        <w:rPr>
          <w:rFonts w:hint="eastAsia" w:ascii="方正仿宋简体" w:hAnsi="方正仿宋简体" w:eastAsia="方正仿宋简体" w:cs="方正仿宋简体"/>
          <w:b/>
          <w:sz w:val="28"/>
          <w:szCs w:val="28"/>
          <w:u w:val="none"/>
        </w:rPr>
      </w:pP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sz w:val="32"/>
          <w:szCs w:val="32"/>
          <w:u w:val="none"/>
        </w:rPr>
      </w:pPr>
      <w:r>
        <w:rPr>
          <w:rFonts w:hint="eastAsia" w:ascii="黑体" w:hAnsi="黑体" w:eastAsia="黑体" w:cs="黑体"/>
          <w:bCs/>
          <w:sz w:val="32"/>
          <w:szCs w:val="32"/>
          <w:u w:val="none"/>
        </w:rPr>
        <w:t>一、申报</w:t>
      </w:r>
    </w:p>
    <w:p>
      <w:pPr>
        <w:keepNext w:val="0"/>
        <w:keepLines w:val="0"/>
        <w:pageBreakBefore w:val="0"/>
        <w:widowControl w:val="0"/>
        <w:kinsoku/>
        <w:wordWrap/>
        <w:overflowPunct/>
        <w:topLinePunct/>
        <w:autoSpaceDE/>
        <w:autoSpaceDN/>
        <w:bidi w:val="0"/>
        <w:adjustRightInd/>
        <w:snapToGrid/>
        <w:spacing w:line="580" w:lineRule="exact"/>
        <w:ind w:firstLine="664" w:firstLineChars="200"/>
        <w:jc w:val="both"/>
        <w:textAlignment w:val="auto"/>
        <w:rPr>
          <w:rFonts w:hint="eastAsia" w:ascii="仿宋" w:hAnsi="仿宋" w:eastAsia="仿宋" w:cs="仿宋"/>
          <w:sz w:val="32"/>
          <w:szCs w:val="32"/>
          <w:u w:val="none"/>
        </w:rPr>
      </w:pPr>
      <w:r>
        <w:rPr>
          <w:rFonts w:hint="eastAsia" w:ascii="仿宋" w:hAnsi="仿宋" w:eastAsia="仿宋" w:cs="仿宋"/>
          <w:spacing w:val="6"/>
          <w:sz w:val="32"/>
          <w:szCs w:val="32"/>
          <w:u w:val="none"/>
        </w:rPr>
        <w:t>矿山企业按照绿色矿山建设评价指标自评达到标准要求的，</w:t>
      </w:r>
      <w:r>
        <w:rPr>
          <w:rFonts w:hint="eastAsia" w:ascii="仿宋" w:hAnsi="仿宋" w:eastAsia="仿宋" w:cs="仿宋"/>
          <w:sz w:val="32"/>
          <w:szCs w:val="32"/>
          <w:u w:val="none"/>
        </w:rPr>
        <w:t>应向矿山所在地盟市自然资源局提交自评估报告，申报绿色矿山评估遴选，申报材料清单如下：</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（一）《营业执照》、《采矿许可证》、《安全生产许可证》;</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（二）矿业权出让收益（价款）缴纳相关材料（矿业权出让合同、缴费票据、年度矿产品销售报表）</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环境影响评价和环保竣工验收材料；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（三）截至申报绿色矿山之日前3年，如受到自然资源、能源、生态环境、应急管理、矿山安全监管、水利、工</w:t>
      </w:r>
      <w:r>
        <w:rPr>
          <w:rFonts w:hint="eastAsia" w:ascii="仿宋" w:hAnsi="仿宋" w:eastAsia="仿宋" w:cs="仿宋"/>
          <w:sz w:val="32"/>
          <w:szCs w:val="32"/>
          <w:u w:val="none"/>
          <w:lang w:eastAsia="zh-CN"/>
        </w:rPr>
        <w:t>业和信息化</w:t>
      </w:r>
      <w:r>
        <w:rPr>
          <w:rFonts w:hint="eastAsia" w:ascii="仿宋" w:hAnsi="仿宋" w:eastAsia="仿宋" w:cs="仿宋"/>
          <w:sz w:val="32"/>
          <w:szCs w:val="32"/>
          <w:u w:val="none"/>
        </w:rPr>
        <w:t>、林草等有关主管部门行政处罚，应提供已执行到位的佐证材料；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（四）矿山上一年度储量年度报告；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（五）矿山企业绿色矿山自评报告、申请表；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（六）矿山企业对申报材料的真实性承诺书；</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（七）宣传片、遥感影像、现场照片等相关影像资料。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sz w:val="32"/>
          <w:szCs w:val="32"/>
          <w:u w:val="none"/>
        </w:rPr>
      </w:pPr>
      <w:r>
        <w:rPr>
          <w:rFonts w:hint="eastAsia" w:ascii="黑体" w:hAnsi="黑体" w:eastAsia="黑体" w:cs="黑体"/>
          <w:bCs/>
          <w:sz w:val="32"/>
          <w:szCs w:val="32"/>
          <w:u w:val="none"/>
        </w:rPr>
        <w:t>二、初审</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盟市自然资源局是初审责任主体，应会同生态环境、应急管理等有关主管部门，按照部门职能职责，对绿色矿山申报材料组织开展初审，包括资料核查和实地核查；可根据地区实际，委托旗县级自然资源局会同有关部门开展实地核查工作。实地核查应结合评价指标内容，重点开展约束性指标达标情况核查。初审通过后报自治区自然资源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初审内容应包括：</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（一）</w:t>
      </w:r>
      <w:r>
        <w:rPr>
          <w:rFonts w:hint="eastAsia" w:ascii="仿宋" w:hAnsi="仿宋" w:eastAsia="仿宋" w:cs="仿宋"/>
          <w:spacing w:val="6"/>
          <w:sz w:val="32"/>
          <w:szCs w:val="32"/>
          <w:u w:val="none"/>
        </w:rPr>
        <w:t>《营业执照》、《采矿许可证》、《安全生产许可证》证照合法有效；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（二）按规定完成矿业权出让收益（价款）处置、环境影响评价和环保竣工验收；</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（三）按规定提取使用矿区生态修复费用，并按照《矿区生态修复方案》和《年度治理计划》完成矿区生态修复工作；</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pacing w:val="-6"/>
          <w:sz w:val="32"/>
          <w:szCs w:val="32"/>
          <w:u w:val="none"/>
        </w:rPr>
      </w:pPr>
      <w:r>
        <w:rPr>
          <w:rFonts w:hint="eastAsia" w:ascii="仿宋" w:hAnsi="仿宋" w:eastAsia="仿宋" w:cs="仿宋"/>
          <w:sz w:val="32"/>
          <w:szCs w:val="32"/>
          <w:u w:val="none"/>
        </w:rPr>
        <w:t>（四）</w:t>
      </w:r>
      <w:r>
        <w:rPr>
          <w:rFonts w:hint="eastAsia" w:ascii="仿宋" w:hAnsi="仿宋" w:eastAsia="仿宋" w:cs="仿宋"/>
          <w:spacing w:val="-11"/>
          <w:sz w:val="32"/>
          <w:szCs w:val="32"/>
          <w:u w:val="none"/>
        </w:rPr>
        <w:t>截至申报绿色矿山之日前3年，未受到自然资源、</w:t>
      </w:r>
      <w:r>
        <w:rPr>
          <w:rFonts w:hint="eastAsia" w:ascii="仿宋" w:hAnsi="仿宋" w:eastAsia="仿宋" w:cs="仿宋"/>
          <w:spacing w:val="-6"/>
          <w:sz w:val="32"/>
          <w:szCs w:val="32"/>
          <w:u w:val="none"/>
        </w:rPr>
        <w:t>能源、生态环境、应急管理、矿山安全监察</w:t>
      </w:r>
      <w:r>
        <w:rPr>
          <w:rFonts w:hint="eastAsia" w:ascii="仿宋" w:hAnsi="仿宋" w:eastAsia="仿宋" w:cs="仿宋"/>
          <w:spacing w:val="-6"/>
          <w:sz w:val="32"/>
          <w:szCs w:val="32"/>
          <w:u w:val="none"/>
          <w:lang w:eastAsia="zh-CN"/>
        </w:rPr>
        <w:t>监管</w:t>
      </w:r>
      <w:r>
        <w:rPr>
          <w:rFonts w:hint="eastAsia" w:ascii="仿宋" w:hAnsi="仿宋" w:eastAsia="仿宋" w:cs="仿宋"/>
          <w:spacing w:val="-6"/>
          <w:sz w:val="32"/>
          <w:szCs w:val="32"/>
          <w:u w:val="none"/>
        </w:rPr>
        <w:t>等有关主管部门行政处罚或处罚已执行到位，未发生过较大及以上安全</w:t>
      </w:r>
      <w:r>
        <w:rPr>
          <w:rFonts w:hint="eastAsia" w:ascii="仿宋" w:hAnsi="仿宋" w:eastAsia="仿宋" w:cs="仿宋"/>
          <w:spacing w:val="-6"/>
          <w:sz w:val="32"/>
          <w:szCs w:val="32"/>
          <w:u w:val="none"/>
          <w:lang w:eastAsia="zh-CN"/>
        </w:rPr>
        <w:t>生产</w:t>
      </w:r>
      <w:r>
        <w:rPr>
          <w:rFonts w:hint="eastAsia" w:ascii="仿宋" w:hAnsi="仿宋" w:eastAsia="仿宋" w:cs="仿宋"/>
          <w:spacing w:val="-6"/>
          <w:sz w:val="32"/>
          <w:szCs w:val="32"/>
          <w:u w:val="none"/>
        </w:rPr>
        <w:t>、环保事故；</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（五）按要求进行矿业权人勘查开采信息公示，未被列入异常名录，如被列入且处罚整改到位的须提供佐证材料；</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（六）</w:t>
      </w:r>
      <w:r>
        <w:rPr>
          <w:rFonts w:hint="eastAsia" w:ascii="仿宋" w:hAnsi="仿宋" w:eastAsia="仿宋" w:cs="仿宋"/>
          <w:spacing w:val="6"/>
          <w:sz w:val="32"/>
          <w:szCs w:val="32"/>
          <w:u w:val="none"/>
        </w:rPr>
        <w:t>矿山近3年正常生产运营,且剩余储量可采年限（按储量年度报告）不少于3年；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pacing w:val="-6"/>
          <w:sz w:val="32"/>
          <w:szCs w:val="32"/>
          <w:u w:val="none"/>
        </w:rPr>
      </w:pPr>
      <w:r>
        <w:rPr>
          <w:rFonts w:hint="eastAsia" w:ascii="仿宋" w:hAnsi="仿宋" w:eastAsia="仿宋" w:cs="仿宋"/>
          <w:sz w:val="32"/>
          <w:szCs w:val="32"/>
          <w:u w:val="none"/>
        </w:rPr>
        <w:t>（七）</w:t>
      </w:r>
      <w:r>
        <w:rPr>
          <w:rFonts w:hint="eastAsia" w:ascii="仿宋" w:hAnsi="仿宋" w:eastAsia="仿宋" w:cs="仿宋"/>
          <w:spacing w:val="-11"/>
          <w:sz w:val="32"/>
          <w:szCs w:val="32"/>
          <w:u w:val="none"/>
        </w:rPr>
        <w:t>矿山开采符合生态、环保、规划等各类差别化管控政策。</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sz w:val="32"/>
          <w:szCs w:val="32"/>
          <w:u w:val="none"/>
        </w:rPr>
      </w:pPr>
      <w:r>
        <w:rPr>
          <w:rFonts w:hint="eastAsia" w:ascii="黑体" w:hAnsi="黑体" w:eastAsia="黑体" w:cs="黑体"/>
          <w:bCs/>
          <w:sz w:val="32"/>
          <w:szCs w:val="32"/>
          <w:u w:val="none"/>
        </w:rPr>
        <w:t>三、评估审查公示公告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自治区自然资源厅委托第三方评估机构进行现场核查评估</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评估通过的，</w:t>
      </w:r>
      <w:r>
        <w:rPr>
          <w:rFonts w:hint="eastAsia" w:ascii="仿宋" w:hAnsi="仿宋" w:eastAsia="仿宋" w:cs="仿宋"/>
          <w:sz w:val="32"/>
          <w:szCs w:val="32"/>
          <w:u w:val="none"/>
          <w:lang w:eastAsia="zh-CN"/>
        </w:rPr>
        <w:t>自治区自然资源厅</w:t>
      </w:r>
      <w:r>
        <w:rPr>
          <w:rFonts w:hint="eastAsia" w:ascii="仿宋" w:hAnsi="仿宋" w:eastAsia="仿宋" w:cs="仿宋"/>
          <w:sz w:val="32"/>
          <w:szCs w:val="32"/>
          <w:u w:val="none"/>
        </w:rPr>
        <w:t>组织有关主管部门开展资料核查并按比例进行实地抽查</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核查抽查通过后，由自治区自然资源厅向社会公示，将公示无异议的矿山纳入绿色矿山名录库管理并向</w:t>
      </w:r>
      <w:r>
        <w:rPr>
          <w:rFonts w:hint="eastAsia" w:ascii="仿宋" w:hAnsi="仿宋" w:eastAsia="仿宋" w:cs="仿宋"/>
          <w:spacing w:val="6"/>
          <w:sz w:val="32"/>
          <w:szCs w:val="32"/>
          <w:u w:val="none"/>
        </w:rPr>
        <w:t>社会公告，接受社会监督。对矿区范围、开采方式、开采矿种、</w:t>
      </w:r>
      <w:r>
        <w:rPr>
          <w:rFonts w:hint="eastAsia" w:ascii="仿宋" w:hAnsi="仿宋" w:eastAsia="仿宋" w:cs="仿宋"/>
          <w:sz w:val="32"/>
          <w:szCs w:val="32"/>
          <w:u w:val="none"/>
        </w:rPr>
        <w:t>开采规模等发生重大变化的绿色矿山，</w:t>
      </w:r>
      <w:r>
        <w:rPr>
          <w:rFonts w:hint="eastAsia" w:ascii="仿宋" w:hAnsi="仿宋" w:eastAsia="仿宋" w:cs="仿宋"/>
          <w:sz w:val="32"/>
          <w:szCs w:val="32"/>
          <w:u w:val="none"/>
          <w:lang w:eastAsia="zh-CN"/>
        </w:rPr>
        <w:t>自治区自然资源厅</w:t>
      </w:r>
      <w:r>
        <w:rPr>
          <w:rFonts w:hint="eastAsia" w:ascii="仿宋" w:hAnsi="仿宋" w:eastAsia="仿宋" w:cs="仿宋"/>
          <w:sz w:val="32"/>
          <w:szCs w:val="32"/>
          <w:u w:val="none"/>
        </w:rPr>
        <w:t>要会同相关部门及时组织实地核查，明确其是否符合绿色矿山标准。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黑体" w:hAnsi="黑体" w:eastAsia="黑体" w:cs="黑体"/>
          <w:bCs/>
          <w:sz w:val="32"/>
          <w:szCs w:val="32"/>
          <w:u w:val="none"/>
        </w:rPr>
      </w:pPr>
      <w:r>
        <w:rPr>
          <w:rFonts w:hint="eastAsia" w:ascii="黑体" w:hAnsi="黑体" w:eastAsia="黑体" w:cs="黑体"/>
          <w:bCs/>
          <w:sz w:val="32"/>
          <w:szCs w:val="32"/>
          <w:u w:val="none"/>
        </w:rPr>
        <w:t>四、动态管理</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楷体" w:hAnsi="楷体" w:eastAsia="楷体" w:cs="楷体"/>
          <w:b w:val="0"/>
          <w:bCs w:val="0"/>
          <w:sz w:val="32"/>
          <w:szCs w:val="32"/>
          <w:u w:val="none"/>
        </w:rPr>
        <w:t>（一）标注的情形。</w:t>
      </w:r>
      <w:r>
        <w:rPr>
          <w:rFonts w:hint="eastAsia" w:ascii="仿宋" w:hAnsi="仿宋" w:eastAsia="仿宋" w:cs="仿宋"/>
          <w:sz w:val="32"/>
          <w:szCs w:val="32"/>
          <w:u w:val="none"/>
        </w:rPr>
        <w:t>纳入绿色矿山名录的矿山企业出现下列情形之一的，应进行标注</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1.矿山停产1年以上；</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2.矿区范围、开采方式、开采矿种、开采规模发生变更；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仿宋" w:hAnsi="仿宋" w:eastAsia="仿宋" w:cs="仿宋"/>
          <w:sz w:val="32"/>
          <w:szCs w:val="32"/>
          <w:u w:val="none"/>
        </w:rPr>
        <w:t>3.需要限期整改的事项。</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楷体" w:hAnsi="楷体" w:eastAsia="楷体" w:cs="楷体"/>
          <w:b w:val="0"/>
          <w:bCs w:val="0"/>
          <w:sz w:val="32"/>
          <w:szCs w:val="32"/>
          <w:u w:val="none"/>
        </w:rPr>
        <w:t>（二）限期整改的情形。</w:t>
      </w:r>
      <w:r>
        <w:rPr>
          <w:rFonts w:hint="eastAsia" w:ascii="仿宋" w:hAnsi="仿宋" w:eastAsia="仿宋" w:cs="仿宋"/>
          <w:sz w:val="32"/>
          <w:szCs w:val="32"/>
          <w:u w:val="none"/>
        </w:rPr>
        <w:t>纳入绿色矿山名录的矿山企业出现下列情形之一的，应限期整改，整改期限由提出问题的有关主管部门决定</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1.绿色矿山评估相关档案资料不健全；</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2.矿区环境较差；</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3.采用国家禁止的过期淘汰设备和生产工艺；</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4.选矿及加工工艺落后，有污染风险；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5.矿产资源“三率”等指标不达标；</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6.矿区生态修复不符合相关方案；</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7.“三废”未得到有效处置和综合利用，有污染风险；</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8.能耗、水耗指标未达到规定要求；</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u w:val="none"/>
        </w:rPr>
      </w:pPr>
      <w:r>
        <w:rPr>
          <w:rFonts w:hint="eastAsia" w:ascii="仿宋" w:hAnsi="仿宋" w:eastAsia="仿宋" w:cs="仿宋"/>
          <w:sz w:val="32"/>
          <w:szCs w:val="32"/>
          <w:u w:val="none"/>
        </w:rPr>
        <w:t>9.其他违法违规行为，需限期整改的。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lang w:eastAsia="zh-CN"/>
        </w:rPr>
      </w:pPr>
      <w:r>
        <w:rPr>
          <w:rFonts w:hint="eastAsia" w:ascii="楷体" w:hAnsi="楷体" w:eastAsia="楷体" w:cs="楷体"/>
          <w:b w:val="0"/>
          <w:bCs w:val="0"/>
          <w:sz w:val="32"/>
          <w:szCs w:val="32"/>
          <w:u w:val="none"/>
        </w:rPr>
        <w:t>（三）移出绿色矿山名录的情形。</w:t>
      </w:r>
      <w:r>
        <w:rPr>
          <w:rFonts w:hint="eastAsia" w:ascii="仿宋" w:hAnsi="仿宋" w:eastAsia="仿宋" w:cs="仿宋"/>
          <w:sz w:val="32"/>
          <w:szCs w:val="32"/>
          <w:u w:val="none"/>
        </w:rPr>
        <w:t>盟市、旗县</w:t>
      </w:r>
      <w:r>
        <w:rPr>
          <w:rFonts w:hint="eastAsia" w:ascii="仿宋" w:hAnsi="仿宋" w:eastAsia="仿宋" w:cs="仿宋"/>
          <w:sz w:val="32"/>
          <w:szCs w:val="32"/>
          <w:u w:val="none"/>
          <w:lang w:eastAsia="zh-CN"/>
        </w:rPr>
        <w:t>（市、区）</w:t>
      </w:r>
      <w:r>
        <w:rPr>
          <w:rFonts w:hint="eastAsia" w:ascii="仿宋" w:hAnsi="仿宋" w:eastAsia="仿宋" w:cs="仿宋"/>
          <w:sz w:val="32"/>
          <w:szCs w:val="32"/>
          <w:u w:val="none"/>
        </w:rPr>
        <w:t>自然资源主管部门会同有关部门在日常监管中发现绿色矿山存在下列情形之一的，要及时上报自治区绿色矿山建设协调机制办公室审核，自治区相关部门按照职责分工发现问题线索的，要及时告知自治区绿色矿山建设协调机制办公室，经自治区绿色矿山建设协调机制审定后，移出绿色矿山名录，不再享受相应支持政策，</w:t>
      </w:r>
      <w:r>
        <w:rPr>
          <w:rFonts w:hint="eastAsia" w:ascii="仿宋" w:hAnsi="仿宋" w:eastAsia="仿宋" w:cs="仿宋"/>
          <w:spacing w:val="6"/>
          <w:sz w:val="32"/>
          <w:szCs w:val="32"/>
          <w:u w:val="none"/>
        </w:rPr>
        <w:t>并向社会公告，后续整改工作由问题涉及的相关部门负责监督，</w:t>
      </w:r>
      <w:r>
        <w:rPr>
          <w:rFonts w:hint="eastAsia" w:ascii="仿宋" w:hAnsi="仿宋" w:eastAsia="仿宋" w:cs="仿宋"/>
          <w:sz w:val="32"/>
          <w:szCs w:val="32"/>
          <w:u w:val="none"/>
        </w:rPr>
        <w:t>并将整改结果抄送自治区绿色矿山建设协调机制办公室</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1.《采矿许可证》</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《安全生产许可证》</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《营业执照》证照不齐、过期未及时延续或被吊销的；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2.受到行政处罚后在履行期限内未执行到位的；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3.采矿权消灭的，因矿山企业自身原因未正常生产运营停产超过3年的；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4.违法开采特别是越界开采、擅自改变开采方式的；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5.发生较大及以上安全生产事故或环境事件的，发生土壤和地下水严重污染的；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6.未落实国土空间规划和用途管制的；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7.未落实生态环境分区管控、环境影响评价、排污许可等相关制度要求，且未按期整改到位的；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8.未按要求定期开展尾矿库污染隐患排查的或尾矿库污染防治设施未按要求建设运行的；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9.采矿权人被列入矿业权人勘查开采信息公示异常名录，且未在6个月内移出的；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10.矿产资源开发利用水平连续2年被划定为落后档次的；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11.被中央环保督察、巡视审计、全国人大常委会执法检查等作为典型案例通报或纳入各类警示片的；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12.发生突发事件，因企业违法违规在全国门户类网站、平台引发负面舆情的；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13.弄虚作假通过绿色矿山评估的；</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rPr>
          <w:rFonts w:hint="eastAsia" w:ascii="仿宋" w:hAnsi="仿宋" w:eastAsia="仿宋" w:cs="仿宋"/>
          <w:sz w:val="32"/>
          <w:szCs w:val="32"/>
          <w:u w:val="none"/>
        </w:rPr>
      </w:pPr>
      <w:r>
        <w:rPr>
          <w:rFonts w:hint="eastAsia" w:ascii="仿宋" w:hAnsi="仿宋" w:eastAsia="仿宋" w:cs="仿宋"/>
          <w:sz w:val="32"/>
          <w:szCs w:val="32"/>
          <w:u w:val="none"/>
        </w:rPr>
        <w:t>14.其他违法违规行为不宜继续列入名录的。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E6FD1"/>
    <w:rsid w:val="5DBE6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2025-06-19T06:35:00Z</dcterms:created>
  <dc:creator>哈斯高娃:通知发起人</dc:creator>
  <cp:lastModifiedBy>哈斯高娃:通知发起人</cp:lastModifiedBy>
  <dcterms:modified xsi:type="dcterms:W3CDTF">2025-06-19T06:36:42Z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