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做好金融“五篇大文章”的实施意见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</w:t>
      </w:r>
      <w:r>
        <w:rPr>
          <w:rFonts w:hint="eastAsia" w:ascii="仿宋_GB2312" w:hAnsi="华文仿宋" w:eastAsia="仿宋_GB2312"/>
          <w:sz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lang w:eastAsia="zh-CN"/>
        </w:rPr>
        <w:t>〕</w:t>
      </w:r>
      <w:r>
        <w:rPr>
          <w:rFonts w:hint="eastAsia" w:ascii="仿宋_GB2312" w:hAnsi="华文仿宋" w:eastAsia="仿宋_GB2312"/>
          <w:sz w:val="32"/>
          <w:lang w:val="en-US" w:eastAsia="zh-CN"/>
        </w:rPr>
        <w:t>22</w:t>
      </w:r>
      <w:r>
        <w:rPr>
          <w:rFonts w:hint="eastAsia" w:ascii="仿宋_GB2312" w:hAnsi="华文仿宋" w:eastAsia="仿宋_GB2312"/>
          <w:sz w:val="32"/>
          <w:lang w:eastAsia="zh-CN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为贯彻落实《国务院办公厅关于做好金融“五篇大文章”的指导意见》（国办发〔2025〕8号）精神，做好科技金融、绿色金融、普惠金融、养老金融、数字金融大文章（以下简称金融“五篇大文章”），支持自治区完成好“五大任务”，接续实施好“六个工程”，组织开展好“六个行动”，经自治区人民政府同意，现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以加强党对金融工作的全面领导为统领，紧紧围绕铸牢中华民族共同体意识工作主线，推动金融“五篇大文章”各领域高质量发展。到2027年，科技、绿色转型、普惠、养老产业、数字经济产业贷款余额稳定增长。获贷科技型企业增量扩面；绿色直接融资取得突破，绿色保险覆盖更加全面；普惠金融服务可得性、便利性不断提高；养老金融体系逐步完善，专项产品与适老化服务更加丰富；金融机构数字化转型取得积极进展，数字经济服务能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二、做好金融“五篇大文章”重点领域工作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（一）扎实做好科技金融。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统筹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zh-CN"/>
        </w:rPr>
        <w:t>运用“股、贷、债、保、担”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等举措，根据科技型企业不同成长阶段提供多元化、接力式金融服务，提升科技“突围”工程和“科技兴蒙”行动效能。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强化种子期企业培育金融支持，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利用科技企业孵化载体提供孵化服务、创业指导，促进科技成果转化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。做好初创期企业护航，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建立银担联动平台，鼓励金融机构开展知识产权质押融资业务，为科技成果转化提供金融支持；规范发展风险投资，活跃科技保险市场，提升融资获得率。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为成长期企业赋能，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进“天骏计划”，强化上市后备企业股权融资、转让等服务，推动符合条件的企业上市融资，支持新三板挂牌企业向高层次市场转板；加强信贷资金、社会资本合作，带动更多长期、耐心资本支持科技和产业创新，保障承担国家重大科技任务企业关键技术攻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助力成熟期企业跃升，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支持金融机构强化风险管理、资金归集、债券承销等综合金融服务，提供综合性保险解决方案；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积极配合债券市场“科技板”落地，支持金融机构、科技型企业、股权投资机构等三类主体发行科技创新债券。加大优质中小企业融资支持力度，支持中小企业专精特新发展。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（责任部门：中国人民银行内蒙古自治区分行、自治区党委金融办、内蒙古金融监管局、内蒙古证监局，自治区科技厅、工业和信息化厅、财政厅、</w:t>
      </w:r>
      <w:r>
        <w:rPr>
          <w:rFonts w:hint="eastAsia" w:ascii="楷体" w:hAnsi="楷体" w:eastAsia="楷体" w:cs="楷体"/>
          <w:color w:val="000000"/>
          <w:sz w:val="32"/>
          <w:szCs w:val="32"/>
          <w:u w:val="none" w:color="auto"/>
          <w:lang w:val="en-US" w:eastAsia="zh-CN"/>
        </w:rPr>
        <w:t>市场监管局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（二）高质量发展绿色金融。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做好金融支持产业结构优化升级、污染防治和生态保护、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绿色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创新试点工作，协同推进降碳、减污、扩绿、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增长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，助力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我国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北方重要生态安全屏障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建设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支持产业结构优化升级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，积极融入全国碳市场体系，扎实推进煤电行业转型金融标准试用，为传统行业绿色低碳转型提供信贷支持和保险保障；围绕“两率先、两超过”目标，加大对“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风、光、氢、储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新能源重点产业信贷投放，培育壮大一批战略性新兴产业集群。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支持污染防治和生态保护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，深入打好污染防治攻坚战，做好防沙治沙和风电光伏一体化工程、“三北”工程攻坚战和三大标志性战役金融服务工作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推动“节水贷”业务，助力“节水行动”见行见效。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积极支持国家碳达峰试点、气候投融资试点、减污降碳协同创新试点城市建设，为零碳园区、零碳工厂提供融资服务。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（责任部门：中国人民银行内蒙古自治区分行、自治区党委金融办、内蒙古金融监管局，自治区发展改革委、财政厅、生态环境厅、</w:t>
      </w:r>
      <w:r>
        <w:rPr>
          <w:rFonts w:hint="eastAsia" w:ascii="楷体" w:hAnsi="楷体" w:eastAsia="楷体" w:cs="楷体"/>
          <w:color w:val="000000"/>
          <w:sz w:val="32"/>
          <w:szCs w:val="32"/>
          <w:u w:val="none" w:color="auto"/>
          <w:lang w:val="en-US" w:eastAsia="zh-CN"/>
        </w:rPr>
        <w:t>水利厅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、林草局，各金融机构）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（三）深入发展普惠金融。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做好金融支持民营小微企业、创业就业、乡村振兴等工作，提高金融服务民生水平。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聚焦民营小微企业融资问题，认真落实《中华人民共和国民营经济促进法》，坚持各类所有制企业“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一视同仁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”支持理念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用好民营中小微企业信用融资风险分担资金、无还本续贷政策，推动小微企业融资协调工作机制落地见效，深入推进“一链一策一批”中小微企业融资促进行动，与助企行动同向发力。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立足创业就业新形势，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加大创业担保、助学贷款工作力度，探索建立稳岗扩岗专项贷款与创业担保贷款联动机制，支持重点群体就业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创业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就学，推动就业促进行动走深走实。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引导金融机构积极支持提振消费。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围绕全面推进乡村振兴，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持续做好金融支持种业振兴、春耕备耕、高标准农田建设、设施农业建设等重点工作，支持国家重要农畜产品生产基地建设。发挥脱贫人口小额信贷精准帮扶作用，支持国家乡村振兴重点帮扶旗县等重点地区健康发展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（责任部门：中国人民银行内蒙古自治区分行、自治区党委金融办、内蒙古金融监管局，自治区发展改革委、工业和信息化厅、财政厅、人力资源社会保障厅、农牧厅，各金融机构）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（四）大力发展养老金融。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强化养老产业金融供给，完善多支柱养老保险体系，保障老年群体金融权益，服务银发经济高质量发展。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加大养老产业融资支持力度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，积极契合居家和社区基本养老服务提升行动、旗县域养老服务体系创新试点、牧区和旅居养老新模式，支持养老产业与养老基础设施建设。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发展养老保险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二、三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支柱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，做好城乡居保基金委托投资工作，加快推进企业年金数字化建设，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全面实施个人养老金制度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，大力发展商业保险年金，促进养老财富储备和保值增值。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加强老年群体权益保障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，健全支付适老化服务标准及配套制度，推进银行网点、非柜面业务适老化改造，建成一批适老标准化示范化金融服务网点。开展老年群体金融知识宣传教育，加大涉老非法金融活动防范和打击力度。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（责任部门：中国人民银行内蒙古自治区分行、内蒙古金融监管局，自治区民政厅、人力资源社会保障厅，各金融机构）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（五）积极发展数字金融。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系统推进数字化转型，支持数字产业发展，强化金融监管，提升数实融合水平。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推动金融机构数字化转型，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深化数据在业务经营和风险管理中的应用，提升数字化经营服务能力。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加大对数字经济及其核心产业的资金支持力度，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加快建设呼和浩特区域金融中心，深入打造和林格尔金融数据产业园，推进金融领域“数据要素×”工作，依法合规推动公共数据向金融机构赋能应用。积极争取数字人民币试点。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提升金融监管数字化水平，配合国家金融监督管理总局开展监管流程数字化再造，增强关键监管活动的规范性和透明度，加强智能分析工具研发，将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数字金融新产品、新业务、新模式依法依规全部纳入监管。督促金融机构结合数字金融业务模式和特点，健全金融消费者权益保护机制。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（责任部门：中国人民银行内蒙古自治区分行、内蒙古金融监管局、自治区政务服务与数据管理局，各金融机构）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u w:val="none" w:color="auto"/>
          <w:lang w:val="en-US" w:eastAsia="zh-CN"/>
        </w:rPr>
        <w:t>健全完善金融支持体系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（一）构建分类协同的金融支持框架。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国性银行自治区分支机构要全面加大金融“五篇大文章”各领域工作力度。地方法人银行要聚焦与自身定位和能力相契合的领域，提供专业化、精细化服务。保险机构要加强对重点领域的保险保障和投融资支持。证券、期货、基金、私募股权投资、金融资产管理公司等机构要提升投资能力，拓宽直接融资渠道。各金融机构要积极支持做好贷款、结算、法人“三落地”工作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（责任部门：中国人民银行内蒙古自治区分行、自治区党委金融办、内蒙古金融监管局、内蒙古证监局，各金融机构）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（二）丰富金融产品和服务。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广应用“创新积分贷”、“科技人才贷”等产品，规范发展“贷款+外部直投”等业务模式，开发科技型企业创业责任保险等产品。探索“碳汇+金融”、“碳汇+保险”等绿色金融服务机制，发展资源环境权益抵质押融资业务，探索碳账户体系布局，推动绿色保险业务发展。推广主动授信、随借随还贷款模式，规范发展供应链金融业务。推广涉农资产抵质押贷款，探索拓宽抵质押资产范围，完善多层次农业保险保障体系。积极发展具有养老属性的金融产品。落实</w:t>
      </w:r>
      <w:r>
        <w:rPr>
          <w:rFonts w:hint="eastAsia" w:ascii="仿宋" w:hAnsi="仿宋" w:eastAsia="仿宋" w:cs="仿宋"/>
          <w:color w:val="000000"/>
          <w:sz w:val="32"/>
          <w:szCs w:val="32"/>
          <w:u w:val="none" w:color="auto"/>
          <w:lang w:val="en-US" w:eastAsia="zh-CN"/>
        </w:rPr>
        <w:t>房地产金融政策，支持构建房地产发展新模式。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（责任部门：中国人民银行内蒙古自治区分行、内蒙古金融监管局、内蒙古证监局，各金融机构）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充分发挥征信和融资服务平台作用。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推广应用全国中小微企业资金流信用信息共享平台、动产融资统一登记公示系统，推动地方金融机构接入金融信用信息基础数据库。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推动成立国有征信公司，运营内蒙古自治区融资信用服务平台，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加大社会信用信息归集、共享力度，提高企业融资便利度。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（责任部门：中国人民银行内蒙古自治区分行，自治区发展改革委、</w:t>
      </w:r>
      <w:r>
        <w:rPr>
          <w:rFonts w:hint="eastAsia" w:ascii="楷体" w:hAnsi="楷体" w:eastAsia="楷体" w:cs="楷体"/>
          <w:color w:val="000000"/>
          <w:sz w:val="32"/>
          <w:szCs w:val="32"/>
          <w:u w:val="none" w:color="auto"/>
          <w:lang w:val="en-US" w:eastAsia="zh-CN"/>
        </w:rPr>
        <w:t>财政厅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用好用足货币政策工具。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落实科技创新和技术改造再贷款及财政贴息政策，加大对科技型中小企业、重点领域技术改造和设备更新项目支持力度。发挥碳减排支持工具优势，为具有显著碳减排效应的项目提供优惠利率融资。用好股票回购增持再贷款，推动上市公司进行市值管理。用好用足支农支小再贷款，引导地方法人金融机构扩大涉农、小微和民营企业信贷投放。用好服务消费与养老再贷款，引导商业银行加大对服务消费与养老的信贷支持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（责任部门：中国人民银行内蒙古自治区分行、自治区财政厅、内蒙古证监局，各金融机构）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（五）完善金融市场服务体系。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动公司债扩容，形成覆盖金融“五篇大文章”的产品谱系。用好科技创新债券风险分担工具，为科技创新企业和股权投资机构发行低成本、长期限科创债券融资提供支持。推动金融机构符合金融债发行标准，探索开展信贷资产证券化业务。促进股权市场满足发展需求，支持私募股权基金、创投基金发展，引导社会资本投向金融“五篇大文章”领域。活跃并购市场，支持企业高效整合重组。常态化推进基础设施REITs发行。发挥票据市场服务实体经济功能作用。支持金融机构与专业中介机构合作，强化中介服务机构专业把关责任，助力金融市场健康发展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（责任部门：中国人民银行内蒙古自治区分行、自治区党委金融办、内蒙古金融监管局、内蒙古证监局，自治区发展改革委、</w:t>
      </w:r>
      <w:r>
        <w:rPr>
          <w:rFonts w:hint="eastAsia" w:ascii="楷体" w:hAnsi="楷体" w:eastAsia="楷体" w:cs="楷体"/>
          <w:color w:val="000000"/>
          <w:sz w:val="32"/>
          <w:szCs w:val="32"/>
          <w:u w:val="none" w:color="auto"/>
          <w:lang w:val="en-US" w:eastAsia="zh-CN"/>
        </w:rPr>
        <w:t>市场监管局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，各金融机构）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（六）优化外汇市场政策举措。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大跨境人民币便利化服务供给，落实好优质企业贸易投资便利化政策，因地制宜调整优质企业名单；探索开展跨境人民币结算便利化优质企业名单互认，提升跨境人民币业务办理体验感。推动优质企业贸易外汇收支便利化政策扩围提质增效，推动符合条件的企业积极利用资本项目收入支付便利化政策。加强汇率风险中性理念宣传，支持重点涉外企业用好汇率避险政策及汇率风险管理产品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（责任部门：中国人民银行内蒙古自治区分行，各金融机构）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各有关部门要加强互联互通，强化协调配合，形成工作合力，推进政策落实落细。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/>
        </w:rPr>
        <w:t>要发挥政府性融资担保体系作用，缓解企业融资难题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。金融管理部门要健全具有硬约束的金融风险早期纠正机制，严防发生区域性、系统性金融风险。中国人民银行内蒙古自治区分行要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结合实际建立完善金融“五篇大文章”考核评价制度，督促金融机构提升工作质效。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金融机构要明确“一把手”负责制，建立健全内部推进机制和风险管理制度，加强专营或特色分支机构建设，切实做好金融“五篇大文章”业务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各有关部门、金融机构要强化政策宣传，多渠道做好政策宣传解读与经验交流推广，积极营造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做好金融“五篇大文章”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良好舆论氛围。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               2025年6月8日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7"/>
        <w:tblW w:w="873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00" w:lineRule="exact"/>
              <w:ind w:firstLine="280" w:firstLineChars="1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</w:rPr>
              <w:t>自治区人大常委会办公厅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，自治区</w:t>
            </w:r>
            <w:r>
              <w:rPr>
                <w:rFonts w:hint="eastAsia" w:ascii="仿宋_GB2312" w:eastAsia="仿宋_GB2312"/>
                <w:sz w:val="28"/>
              </w:rPr>
              <w:t>政</w:t>
            </w:r>
            <w:r>
              <w:rPr>
                <w:rFonts w:hint="eastAsia" w:ascii="仿宋_GB2312" w:eastAsia="仿宋_GB2312"/>
                <w:spacing w:val="-6"/>
                <w:sz w:val="28"/>
              </w:rPr>
              <w:t>协办公厅，</w:t>
            </w:r>
            <w:r>
              <w:rPr>
                <w:rFonts w:hint="eastAsia" w:ascii="仿宋_GB2312" w:eastAsia="仿宋_GB2312"/>
                <w:spacing w:val="-6"/>
                <w:sz w:val="28"/>
                <w:lang w:eastAsia="zh-CN"/>
              </w:rPr>
              <w:t>自治区监委，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自治区高</w:t>
            </w:r>
            <w:r>
              <w:rPr>
                <w:rFonts w:hint="eastAsia" w:ascii="仿宋_GB2312" w:eastAsia="仿宋_GB2312"/>
                <w:sz w:val="28"/>
              </w:rPr>
              <w:t>级人民法院，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自治区人民</w:t>
            </w:r>
            <w:r>
              <w:rPr>
                <w:rFonts w:hint="eastAsia" w:ascii="仿宋_GB2312" w:eastAsia="仿宋_GB2312"/>
                <w:sz w:val="28"/>
              </w:rPr>
              <w:t>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pacing w:line="400" w:lineRule="exac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各民主党派区委会，</w:t>
            </w: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0"/>
              </w:tabs>
              <w:kinsoku/>
              <w:overflowPunct/>
              <w:autoSpaceDE/>
              <w:autoSpaceDN/>
              <w:bidi w:val="0"/>
              <w:ind w:firstLine="280" w:firstLine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黑体" w:eastAsia="黑体"/>
          <w:sz w:val="32"/>
        </w:rPr>
      </w:pPr>
      <w:bookmarkStart w:id="1" w:name="成文日期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3175</wp:posOffset>
                </wp:positionV>
                <wp:extent cx="1917700" cy="581660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03070" cy="422275"/>
                                  <wp:effectExtent l="0" t="0" r="11430" b="15875"/>
                                  <wp:docPr id="2" name="图片 12" descr="NZBF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2" descr="NZBF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3070" cy="42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3.65pt;margin-top:0.25pt;height:45.8pt;width:151pt;z-index:251659264;mso-width-relative:page;mso-height-relative:page;" filled="f" stroked="f" coordsize="21600,21600" o:gfxdata="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Ob8uNUAAAAHAQAADwAAAAAAAAABACAAAAAiAAAAZHJzL2Rvd25yZXYueG1sUEsBAhQA&#10;FAAAAAgAh07iQH0RG+W8AQAATQMAAA4AAAAAAAAAAQAgAAAAJA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703070" cy="422275"/>
                            <wp:effectExtent l="0" t="0" r="11430" b="15875"/>
                            <wp:docPr id="2" name="图片 12" descr="NZBF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2" descr="NZBF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307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775B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2585B"/>
    <w:rsid w:val="0003004C"/>
    <w:rsid w:val="000305B6"/>
    <w:rsid w:val="00031020"/>
    <w:rsid w:val="00035F63"/>
    <w:rsid w:val="00036CC9"/>
    <w:rsid w:val="00037A1D"/>
    <w:rsid w:val="0004119F"/>
    <w:rsid w:val="00041495"/>
    <w:rsid w:val="00043109"/>
    <w:rsid w:val="00043BA4"/>
    <w:rsid w:val="00045126"/>
    <w:rsid w:val="00046BC3"/>
    <w:rsid w:val="00047325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08A9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07D5"/>
    <w:rsid w:val="001316F8"/>
    <w:rsid w:val="00132688"/>
    <w:rsid w:val="00132E64"/>
    <w:rsid w:val="001332BC"/>
    <w:rsid w:val="001340AD"/>
    <w:rsid w:val="0013461A"/>
    <w:rsid w:val="00137385"/>
    <w:rsid w:val="00140625"/>
    <w:rsid w:val="00142107"/>
    <w:rsid w:val="00143B4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6AFD"/>
    <w:rsid w:val="0016715A"/>
    <w:rsid w:val="001679C2"/>
    <w:rsid w:val="00167D00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A71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3F1F"/>
    <w:rsid w:val="00484559"/>
    <w:rsid w:val="004851D2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06F9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903E6"/>
    <w:rsid w:val="005906A6"/>
    <w:rsid w:val="00590E74"/>
    <w:rsid w:val="00593B63"/>
    <w:rsid w:val="005A1F8D"/>
    <w:rsid w:val="005A5CBA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E0DCD"/>
    <w:rsid w:val="005E3B05"/>
    <w:rsid w:val="005E5234"/>
    <w:rsid w:val="005E7F3F"/>
    <w:rsid w:val="005F29DA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77097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6C8C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057D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6764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DD3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34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0A79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8DD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0BF7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01E"/>
    <w:rsid w:val="00AB38D9"/>
    <w:rsid w:val="00AB50FD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1E4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01E0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D7A59"/>
    <w:rsid w:val="00BE03FB"/>
    <w:rsid w:val="00BE1A66"/>
    <w:rsid w:val="00BE25B8"/>
    <w:rsid w:val="00BE472B"/>
    <w:rsid w:val="00BE5150"/>
    <w:rsid w:val="00BE5638"/>
    <w:rsid w:val="00BF04ED"/>
    <w:rsid w:val="00BF37DC"/>
    <w:rsid w:val="00BF60EE"/>
    <w:rsid w:val="00BF7550"/>
    <w:rsid w:val="00C005E6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0BCF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252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1B2"/>
    <w:rsid w:val="00D96622"/>
    <w:rsid w:val="00D9708A"/>
    <w:rsid w:val="00D97AB1"/>
    <w:rsid w:val="00DA1925"/>
    <w:rsid w:val="00DA35CA"/>
    <w:rsid w:val="00DA70FF"/>
    <w:rsid w:val="00DB0CCF"/>
    <w:rsid w:val="00DB1CF5"/>
    <w:rsid w:val="00DB3818"/>
    <w:rsid w:val="00DB4518"/>
    <w:rsid w:val="00DB6B7F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46555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40CF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D2D"/>
    <w:rsid w:val="00EB67DA"/>
    <w:rsid w:val="00EC29B6"/>
    <w:rsid w:val="00EC6399"/>
    <w:rsid w:val="00EC6D18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08CB"/>
    <w:rsid w:val="00F03745"/>
    <w:rsid w:val="00F03899"/>
    <w:rsid w:val="00F10329"/>
    <w:rsid w:val="00F12718"/>
    <w:rsid w:val="00F12B22"/>
    <w:rsid w:val="00F13C9F"/>
    <w:rsid w:val="00F14EF6"/>
    <w:rsid w:val="00F15AE5"/>
    <w:rsid w:val="00F16E43"/>
    <w:rsid w:val="00F16FED"/>
    <w:rsid w:val="00F17570"/>
    <w:rsid w:val="00F20D57"/>
    <w:rsid w:val="00F22550"/>
    <w:rsid w:val="00F23334"/>
    <w:rsid w:val="00F2738E"/>
    <w:rsid w:val="00F3016E"/>
    <w:rsid w:val="00F35431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504C"/>
    <w:rsid w:val="00FD07BD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2340"/>
    <w:rsid w:val="00FF60C7"/>
    <w:rsid w:val="00FF7392"/>
    <w:rsid w:val="011B684E"/>
    <w:rsid w:val="023B43DC"/>
    <w:rsid w:val="0477743F"/>
    <w:rsid w:val="0499704F"/>
    <w:rsid w:val="05523CA3"/>
    <w:rsid w:val="05A7785D"/>
    <w:rsid w:val="074D26E8"/>
    <w:rsid w:val="0ACD69C7"/>
    <w:rsid w:val="0B27306A"/>
    <w:rsid w:val="0B76792E"/>
    <w:rsid w:val="0CAD191A"/>
    <w:rsid w:val="0DB25BDA"/>
    <w:rsid w:val="0E9318B9"/>
    <w:rsid w:val="10AA3895"/>
    <w:rsid w:val="10C2775B"/>
    <w:rsid w:val="110F26B1"/>
    <w:rsid w:val="119730FD"/>
    <w:rsid w:val="13404ED0"/>
    <w:rsid w:val="185243CD"/>
    <w:rsid w:val="18B23432"/>
    <w:rsid w:val="1A7D41CF"/>
    <w:rsid w:val="1BD1799E"/>
    <w:rsid w:val="1D9445CA"/>
    <w:rsid w:val="1FD3237E"/>
    <w:rsid w:val="21CE0EBF"/>
    <w:rsid w:val="227A4620"/>
    <w:rsid w:val="23B671D4"/>
    <w:rsid w:val="24485B15"/>
    <w:rsid w:val="267C219B"/>
    <w:rsid w:val="27724DDD"/>
    <w:rsid w:val="28686795"/>
    <w:rsid w:val="2A9D75EF"/>
    <w:rsid w:val="2DA04A70"/>
    <w:rsid w:val="302F191D"/>
    <w:rsid w:val="31F77DCA"/>
    <w:rsid w:val="370321C7"/>
    <w:rsid w:val="374A2DC5"/>
    <w:rsid w:val="374A6039"/>
    <w:rsid w:val="39A15E22"/>
    <w:rsid w:val="3C6E3C78"/>
    <w:rsid w:val="3C8F3761"/>
    <w:rsid w:val="3DEDF8C0"/>
    <w:rsid w:val="3E053F52"/>
    <w:rsid w:val="3E585674"/>
    <w:rsid w:val="404769F9"/>
    <w:rsid w:val="4224574B"/>
    <w:rsid w:val="43BA782C"/>
    <w:rsid w:val="456E4695"/>
    <w:rsid w:val="4A456A7E"/>
    <w:rsid w:val="4BB12688"/>
    <w:rsid w:val="4CCE0BD3"/>
    <w:rsid w:val="4F4A2C25"/>
    <w:rsid w:val="51650C56"/>
    <w:rsid w:val="533A3FB6"/>
    <w:rsid w:val="565B7A0E"/>
    <w:rsid w:val="578F34E4"/>
    <w:rsid w:val="5ABC3838"/>
    <w:rsid w:val="5BAE3879"/>
    <w:rsid w:val="61C27225"/>
    <w:rsid w:val="633043F0"/>
    <w:rsid w:val="6331556A"/>
    <w:rsid w:val="63CC12AA"/>
    <w:rsid w:val="64B86B45"/>
    <w:rsid w:val="66142540"/>
    <w:rsid w:val="662933E5"/>
    <w:rsid w:val="6F2C465B"/>
    <w:rsid w:val="6FDB4AF0"/>
    <w:rsid w:val="70A7195F"/>
    <w:rsid w:val="713B78BF"/>
    <w:rsid w:val="719F311C"/>
    <w:rsid w:val="75106B53"/>
    <w:rsid w:val="7A7FF6E5"/>
    <w:rsid w:val="7CCA0B94"/>
    <w:rsid w:val="7D164783"/>
    <w:rsid w:val="7E7A0D43"/>
    <w:rsid w:val="7E960D71"/>
    <w:rsid w:val="7FFFB9E9"/>
    <w:rsid w:val="B64DBD03"/>
    <w:rsid w:val="E9FB0480"/>
    <w:rsid w:val="F9DED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 Char Char2"/>
    <w:basedOn w:val="9"/>
    <w:link w:val="3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2">
    <w:name w:val=" Char Char"/>
    <w:basedOn w:val="9"/>
    <w:link w:val="5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3">
    <w:name w:val=" Char Char1"/>
    <w:basedOn w:val="9"/>
    <w:link w:val="6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2012-09-19T12:59:00Z</dcterms:created>
  <dc:creator>阿拉善盟行政公署:打印</dc:creator>
  <cp:lastModifiedBy>哈斯高娃:通知发起人</cp:lastModifiedBy>
  <dcterms:modified xsi:type="dcterms:W3CDTF">2025-06-20T02:42:27Z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