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sz w:val="44"/>
        </w:rPr>
      </w:pPr>
      <w:bookmarkStart w:id="0" w:name="标题"/>
      <w:bookmarkEnd w:id="0"/>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ascii="黑体" w:eastAsia="黑体"/>
          <w:sz w:val="32"/>
          <w:szCs w:val="32"/>
        </w:rPr>
      </w:pPr>
    </w:p>
    <w:p>
      <w:pPr>
        <w:keepNext w:val="0"/>
        <w:keepLines w:val="0"/>
        <w:pageBreakBefore w:val="0"/>
        <w:widowControl w:val="0"/>
        <w:kinsoku/>
        <w:wordWrap/>
        <w:overflowPunct/>
        <w:topLinePunct/>
        <w:autoSpaceDE/>
        <w:autoSpaceDN/>
        <w:bidi w:val="0"/>
        <w:adjustRightInd w:val="0"/>
        <w:snapToGrid w:val="0"/>
        <w:spacing w:beforeAutospacing="0" w:afterAutospacing="0" w:line="440" w:lineRule="exact"/>
        <w:jc w:val="both"/>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48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内蒙古自治区人民政府办公厅</w:t>
      </w:r>
    </w:p>
    <w:p>
      <w:pPr>
        <w:keepNext w:val="0"/>
        <w:keepLines w:val="0"/>
        <w:pageBreakBefore w:val="0"/>
        <w:widowControl w:val="0"/>
        <w:kinsoku/>
        <w:wordWrap/>
        <w:overflowPunct/>
        <w:topLinePunct/>
        <w:autoSpaceDE/>
        <w:autoSpaceDN/>
        <w:bidi w:val="0"/>
        <w:adjustRightInd/>
        <w:snapToGrid/>
        <w:spacing w:line="48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关于印发自治区加快推动建筑领域</w:t>
      </w:r>
    </w:p>
    <w:p>
      <w:pPr>
        <w:keepNext w:val="0"/>
        <w:keepLines w:val="0"/>
        <w:pageBreakBefore w:val="0"/>
        <w:widowControl w:val="0"/>
        <w:kinsoku/>
        <w:wordWrap/>
        <w:overflowPunct/>
        <w:topLinePunct/>
        <w:autoSpaceDE/>
        <w:autoSpaceDN/>
        <w:bidi w:val="0"/>
        <w:adjustRightInd/>
        <w:snapToGrid/>
        <w:spacing w:line="48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节能降碳实施方案的通知</w:t>
      </w:r>
    </w:p>
    <w:p>
      <w:pPr>
        <w:keepNext w:val="0"/>
        <w:keepLines w:val="0"/>
        <w:pageBreakBefore w:val="0"/>
        <w:widowControl w:val="0"/>
        <w:kinsoku/>
        <w:wordWrap/>
        <w:overflowPunct/>
        <w:topLinePunct/>
        <w:autoSpaceDE/>
        <w:autoSpaceDN/>
        <w:bidi w:val="0"/>
        <w:adjustRightInd/>
        <w:snapToGrid/>
        <w:spacing w:line="480" w:lineRule="exact"/>
        <w:jc w:val="center"/>
        <w:textAlignment w:val="auto"/>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eastAsia" w:ascii="仿宋_GB2312" w:hAnsi="华文仿宋" w:eastAsia="仿宋_GB2312"/>
          <w:sz w:val="32"/>
        </w:rPr>
      </w:pPr>
      <w:r>
        <w:rPr>
          <w:rFonts w:hint="eastAsia" w:ascii="仿宋_GB2312" w:hAnsi="华文仿宋" w:eastAsia="仿宋_GB2312"/>
          <w:sz w:val="32"/>
          <w:lang w:eastAsia="zh-CN"/>
        </w:rPr>
        <w:t>内政办发〔2024〕</w:t>
      </w:r>
      <w:r>
        <w:rPr>
          <w:rFonts w:hint="eastAsia" w:ascii="仿宋_GB2312" w:hAnsi="华文仿宋" w:eastAsia="仿宋_GB2312"/>
          <w:sz w:val="32"/>
          <w:lang w:val="en-US" w:eastAsia="zh-CN"/>
        </w:rPr>
        <w:t>37</w:t>
      </w:r>
      <w:r>
        <w:rPr>
          <w:rFonts w:hint="eastAsia" w:ascii="仿宋_GB2312" w:hAnsi="华文仿宋" w:eastAsia="仿宋_GB2312"/>
          <w:sz w:val="32"/>
          <w:lang w:eastAsia="zh-CN"/>
        </w:rPr>
        <w:t>号</w:t>
      </w:r>
    </w:p>
    <w:p>
      <w:pPr>
        <w:keepNext w:val="0"/>
        <w:keepLines w:val="0"/>
        <w:pageBreakBefore w:val="0"/>
        <w:widowControl w:val="0"/>
        <w:kinsoku/>
        <w:wordWrap/>
        <w:overflowPunct/>
        <w:topLinePunct/>
        <w:autoSpaceDE/>
        <w:autoSpaceDN/>
        <w:bidi w:val="0"/>
        <w:adjustRightInd/>
        <w:snapToGrid/>
        <w:spacing w:line="480" w:lineRule="exact"/>
        <w:jc w:val="center"/>
        <w:textAlignment w:val="auto"/>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autoSpaceDE/>
        <w:autoSpaceDN/>
        <w:bidi w:val="0"/>
        <w:adjustRightInd/>
        <w:snapToGrid/>
        <w:spacing w:line="440" w:lineRule="exact"/>
        <w:jc w:val="both"/>
        <w:textAlignment w:val="auto"/>
        <w:rPr>
          <w:rFonts w:hint="eastAsia"/>
          <w:sz w:val="11"/>
          <w:szCs w:val="11"/>
        </w:rPr>
      </w:pPr>
    </w:p>
    <w:p>
      <w:pPr>
        <w:keepNext w:val="0"/>
        <w:keepLines w:val="0"/>
        <w:pageBreakBefore w:val="0"/>
        <w:widowControl w:val="0"/>
        <w:kinsoku/>
        <w:wordWrap/>
        <w:overflowPunct/>
        <w:topLinePunct/>
        <w:autoSpaceDE/>
        <w:autoSpaceDN/>
        <w:bidi w:val="0"/>
        <w:adjustRightInd/>
        <w:snapToGrid/>
        <w:spacing w:line="440" w:lineRule="exact"/>
        <w:textAlignment w:val="auto"/>
        <w:rPr>
          <w:rFonts w:hint="eastAsia" w:ascii="楷体" w:hAnsi="楷体" w:eastAsia="楷体" w:cs="楷体"/>
          <w:sz w:val="32"/>
        </w:rPr>
      </w:pPr>
      <w:r>
        <w:rPr>
          <w:rFonts w:hint="eastAsia" w:ascii="楷体" w:hAnsi="楷体" w:eastAsia="楷体" w:cs="楷体"/>
          <w:sz w:val="32"/>
          <w:lang w:eastAsia="zh-CN"/>
        </w:rPr>
        <w:t>各盟行政公署、市人民政府，自治区各委、办、厅、局，各大企业、事业单位</w:t>
      </w:r>
      <w:r>
        <w:rPr>
          <w:rFonts w:hint="eastAsia" w:ascii="楷体" w:hAnsi="楷体" w:eastAsia="楷体" w:cs="楷体"/>
          <w:sz w:val="32"/>
        </w:rPr>
        <w:t>：</w:t>
      </w:r>
    </w:p>
    <w:p>
      <w:pPr>
        <w:keepNext w:val="0"/>
        <w:keepLines w:val="0"/>
        <w:pageBreakBefore w:val="0"/>
        <w:widowControl w:val="0"/>
        <w:kinsoku/>
        <w:wordWrap/>
        <w:overflowPunct/>
        <w:topLinePunct/>
        <w:autoSpaceDE/>
        <w:autoSpaceDN/>
        <w:bidi w:val="0"/>
        <w:adjustRightInd/>
        <w:snapToGrid/>
        <w:spacing w:line="440" w:lineRule="exact"/>
        <w:ind w:firstLine="640"/>
        <w:textAlignment w:val="auto"/>
        <w:rPr>
          <w:rFonts w:hint="eastAsia" w:ascii="楷体" w:hAnsi="楷体" w:eastAsia="楷体" w:cs="楷体"/>
          <w:sz w:val="32"/>
          <w:lang w:val="en-US" w:eastAsia="zh-CN"/>
        </w:rPr>
      </w:pPr>
      <w:r>
        <w:rPr>
          <w:rFonts w:hint="eastAsia" w:ascii="楷体" w:hAnsi="楷体" w:eastAsia="楷体" w:cs="楷体"/>
          <w:spacing w:val="-6"/>
          <w:sz w:val="32"/>
          <w:lang w:val="en-US" w:eastAsia="zh-CN"/>
        </w:rPr>
        <w:t>经自治区人民政府同意，现将《内蒙古自治区加快推动建筑领域节能降碳实施方案》印发给你们，请结合实际，认真贯彻落实。</w:t>
      </w:r>
    </w:p>
    <w:p>
      <w:pPr>
        <w:keepNext w:val="0"/>
        <w:keepLines w:val="0"/>
        <w:pageBreakBefore w:val="0"/>
        <w:widowControl w:val="0"/>
        <w:kinsoku/>
        <w:wordWrap/>
        <w:overflowPunct/>
        <w:topLinePunct/>
        <w:autoSpaceDE/>
        <w:autoSpaceDN/>
        <w:bidi w:val="0"/>
        <w:adjustRightInd/>
        <w:snapToGrid/>
        <w:spacing w:line="540" w:lineRule="exact"/>
        <w:ind w:firstLine="640"/>
        <w:textAlignment w:val="auto"/>
        <w:rPr>
          <w:rFonts w:hint="eastAsia" w:ascii="楷体" w:hAnsi="楷体" w:eastAsia="楷体" w:cs="楷体"/>
          <w:sz w:val="32"/>
          <w:lang w:val="en-US" w:eastAsia="zh-CN"/>
        </w:rPr>
      </w:pPr>
    </w:p>
    <w:p>
      <w:pPr>
        <w:keepNext w:val="0"/>
        <w:keepLines w:val="0"/>
        <w:pageBreakBefore w:val="0"/>
        <w:widowControl w:val="0"/>
        <w:kinsoku/>
        <w:wordWrap/>
        <w:overflowPunct/>
        <w:topLinePunct/>
        <w:autoSpaceDE/>
        <w:autoSpaceDN/>
        <w:bidi w:val="0"/>
        <w:adjustRightInd/>
        <w:snapToGrid/>
        <w:spacing w:line="540" w:lineRule="exact"/>
        <w:ind w:firstLine="640"/>
        <w:textAlignment w:val="auto"/>
        <w:rPr>
          <w:rFonts w:hint="eastAsia" w:ascii="楷体" w:hAnsi="楷体" w:eastAsia="楷体" w:cs="楷体"/>
          <w:sz w:val="32"/>
          <w:lang w:val="en-US" w:eastAsia="zh-CN"/>
        </w:rPr>
      </w:pPr>
    </w:p>
    <w:p>
      <w:pPr>
        <w:keepNext w:val="0"/>
        <w:keepLines w:val="0"/>
        <w:pageBreakBefore w:val="0"/>
        <w:widowControl w:val="0"/>
        <w:kinsoku/>
        <w:wordWrap/>
        <w:overflowPunct/>
        <w:topLinePunct/>
        <w:autoSpaceDE/>
        <w:autoSpaceDN/>
        <w:bidi w:val="0"/>
        <w:adjustRightInd/>
        <w:snapToGrid/>
        <w:spacing w:line="540" w:lineRule="exact"/>
        <w:ind w:firstLine="640"/>
        <w:textAlignment w:val="auto"/>
        <w:rPr>
          <w:rFonts w:hint="eastAsia" w:ascii="楷体" w:hAnsi="楷体" w:eastAsia="楷体" w:cs="楷体"/>
          <w:sz w:val="32"/>
          <w:lang w:val="en-US" w:eastAsia="zh-CN"/>
        </w:rPr>
      </w:pPr>
    </w:p>
    <w:p>
      <w:pPr>
        <w:keepNext w:val="0"/>
        <w:keepLines w:val="0"/>
        <w:pageBreakBefore w:val="0"/>
        <w:widowControl w:val="0"/>
        <w:tabs>
          <w:tab w:val="left" w:pos="7620"/>
        </w:tabs>
        <w:kinsoku/>
        <w:wordWrap/>
        <w:overflowPunct/>
        <w:topLinePunct/>
        <w:autoSpaceDE/>
        <w:autoSpaceDN/>
        <w:bidi w:val="0"/>
        <w:adjustRightInd/>
        <w:snapToGrid/>
        <w:spacing w:line="460" w:lineRule="exact"/>
        <w:ind w:firstLine="0"/>
        <w:textAlignment w:val="auto"/>
        <w:rPr>
          <w:rFonts w:hint="eastAsia" w:ascii="方正楷体_GBK" w:hAnsi="方正楷体_GBK" w:eastAsia="方正楷体_GBK" w:cs="方正楷体_GBK"/>
          <w:sz w:val="32"/>
          <w:lang w:val="en-US" w:eastAsia="zh-CN"/>
        </w:rPr>
      </w:pPr>
      <w:r>
        <w:rPr>
          <w:rFonts w:hint="eastAsia" w:ascii="楷体" w:hAnsi="楷体" w:eastAsia="楷体" w:cs="楷体"/>
          <w:sz w:val="32"/>
          <w:lang w:val="en-US" w:eastAsia="zh-CN"/>
        </w:rPr>
        <w:t xml:space="preserve">                                 2024年9月10日</w:t>
      </w:r>
    </w:p>
    <w:p>
      <w:pPr>
        <w:keepNext w:val="0"/>
        <w:keepLines w:val="0"/>
        <w:pageBreakBefore w:val="0"/>
        <w:widowControl w:val="0"/>
        <w:kinsoku/>
        <w:wordWrap/>
        <w:overflowPunct/>
        <w:topLinePunct/>
        <w:autoSpaceDE/>
        <w:autoSpaceDN/>
        <w:bidi w:val="0"/>
        <w:adjustRightInd/>
        <w:snapToGrid/>
        <w:spacing w:line="460" w:lineRule="exact"/>
        <w:ind w:firstLine="641"/>
        <w:textAlignment w:val="auto"/>
        <w:rPr>
          <w:rFonts w:hint="eastAsia" w:ascii="楷体" w:hAnsi="楷体" w:eastAsia="楷体" w:cs="楷体"/>
          <w:sz w:val="32"/>
          <w:lang w:val="en-US" w:eastAsia="zh-CN"/>
        </w:rPr>
      </w:pPr>
      <w:r>
        <w:rPr>
          <w:rFonts w:hint="eastAsia" w:ascii="楷体" w:hAnsi="楷体" w:eastAsia="楷体" w:cs="楷体"/>
          <w:sz w:val="32"/>
          <w:lang w:val="en-US" w:eastAsia="zh-CN"/>
        </w:rPr>
        <w:t>（此件公开发布）</w:t>
      </w:r>
    </w:p>
    <w:p>
      <w:pPr>
        <w:keepNext w:val="0"/>
        <w:keepLines w:val="0"/>
        <w:pageBreakBefore w:val="0"/>
        <w:widowControl w:val="0"/>
        <w:kinsoku/>
        <w:wordWrap/>
        <w:overflowPunct/>
        <w:topLinePunct/>
        <w:autoSpaceDE/>
        <w:autoSpaceDN/>
        <w:bidi w:val="0"/>
        <w:adjustRightInd/>
        <w:snapToGrid/>
        <w:spacing w:line="460" w:lineRule="exact"/>
        <w:ind w:firstLine="641"/>
        <w:textAlignment w:val="auto"/>
        <w:rPr>
          <w:rFonts w:hint="eastAsia" w:ascii="楷体" w:hAnsi="楷体" w:eastAsia="楷体" w:cs="楷体"/>
          <w:sz w:val="32"/>
          <w:lang w:val="en-US" w:eastAsia="zh-CN"/>
        </w:rPr>
      </w:pPr>
    </w:p>
    <w:p>
      <w:pPr>
        <w:keepNext w:val="0"/>
        <w:keepLines w:val="0"/>
        <w:pageBreakBefore w:val="0"/>
        <w:widowControl w:val="0"/>
        <w:kinsoku/>
        <w:wordWrap/>
        <w:overflowPunct/>
        <w:topLinePunct/>
        <w:autoSpaceDE/>
        <w:autoSpaceDN/>
        <w:bidi w:val="0"/>
        <w:adjustRightInd/>
        <w:snapToGrid/>
        <w:spacing w:line="460" w:lineRule="exact"/>
        <w:ind w:firstLine="641"/>
        <w:textAlignment w:val="auto"/>
        <w:rPr>
          <w:rFonts w:hint="eastAsia" w:ascii="楷体" w:hAnsi="楷体" w:eastAsia="楷体" w:cs="楷体"/>
          <w:sz w:val="32"/>
          <w:lang w:val="en-US" w:eastAsia="zh-CN"/>
        </w:rPr>
      </w:pPr>
    </w:p>
    <w:p>
      <w:pPr>
        <w:keepNext w:val="0"/>
        <w:keepLines w:val="0"/>
        <w:pageBreakBefore w:val="0"/>
        <w:widowControl w:val="0"/>
        <w:kinsoku/>
        <w:wordWrap/>
        <w:overflowPunct/>
        <w:topLinePunct/>
        <w:autoSpaceDE/>
        <w:autoSpaceDN/>
        <w:bidi w:val="0"/>
        <w:adjustRightInd/>
        <w:snapToGrid/>
        <w:spacing w:line="460" w:lineRule="exact"/>
        <w:ind w:firstLine="641"/>
        <w:textAlignment w:val="auto"/>
        <w:rPr>
          <w:rFonts w:hint="eastAsia" w:ascii="楷体" w:hAnsi="楷体" w:eastAsia="楷体" w:cs="楷体"/>
          <w:sz w:val="32"/>
          <w:lang w:val="en-US" w:eastAsia="zh-CN"/>
        </w:rPr>
      </w:pPr>
    </w:p>
    <w:p>
      <w:pPr>
        <w:keepNext w:val="0"/>
        <w:keepLines w:val="0"/>
        <w:pageBreakBefore w:val="0"/>
        <w:widowControl w:val="0"/>
        <w:kinsoku/>
        <w:wordWrap/>
        <w:overflowPunct/>
        <w:topLinePunct/>
        <w:autoSpaceDE/>
        <w:autoSpaceDN/>
        <w:bidi w:val="0"/>
        <w:adjustRightInd/>
        <w:snapToGrid/>
        <w:spacing w:line="460" w:lineRule="exact"/>
        <w:ind w:firstLine="641"/>
        <w:textAlignment w:val="auto"/>
        <w:rPr>
          <w:rFonts w:hint="eastAsia" w:ascii="楷体" w:hAnsi="楷体" w:eastAsia="楷体" w:cs="楷体"/>
          <w:sz w:val="32"/>
          <w:lang w:val="en-US" w:eastAsia="zh-CN"/>
        </w:rPr>
      </w:pPr>
    </w:p>
    <w:p>
      <w:pPr>
        <w:keepNext w:val="0"/>
        <w:keepLines w:val="0"/>
        <w:pageBreakBefore w:val="0"/>
        <w:widowControl w:val="0"/>
        <w:kinsoku/>
        <w:wordWrap/>
        <w:overflowPunct/>
        <w:topLinePunct/>
        <w:autoSpaceDE/>
        <w:autoSpaceDN/>
        <w:bidi w:val="0"/>
        <w:adjustRightInd/>
        <w:snapToGrid/>
        <w:spacing w:line="460" w:lineRule="exact"/>
        <w:ind w:firstLine="641"/>
        <w:textAlignment w:val="auto"/>
        <w:rPr>
          <w:rFonts w:hint="eastAsia" w:ascii="楷体" w:hAnsi="楷体" w:eastAsia="楷体" w:cs="楷体"/>
          <w:sz w:val="32"/>
          <w:lang w:val="en-US" w:eastAsia="zh-CN"/>
        </w:rPr>
      </w:pPr>
    </w:p>
    <w:p>
      <w:pPr>
        <w:keepNext w:val="0"/>
        <w:keepLines w:val="0"/>
        <w:pageBreakBefore w:val="0"/>
        <w:widowControl w:val="0"/>
        <w:kinsoku/>
        <w:wordWrap/>
        <w:overflowPunct/>
        <w:topLinePunct/>
        <w:autoSpaceDE/>
        <w:autoSpaceDN/>
        <w:bidi w:val="0"/>
        <w:adjustRightInd/>
        <w:snapToGrid/>
        <w:spacing w:line="460" w:lineRule="exact"/>
        <w:ind w:firstLine="641"/>
        <w:textAlignment w:val="auto"/>
        <w:rPr>
          <w:rFonts w:hint="eastAsia" w:ascii="楷体" w:hAnsi="楷体" w:eastAsia="楷体" w:cs="楷体"/>
          <w:sz w:val="32"/>
          <w:lang w:val="en-US" w:eastAsia="zh-CN"/>
        </w:rPr>
      </w:pPr>
    </w:p>
    <w:p>
      <w:pPr>
        <w:keepNext w:val="0"/>
        <w:keepLines w:val="0"/>
        <w:pageBreakBefore w:val="0"/>
        <w:widowControl w:val="0"/>
        <w:kinsoku/>
        <w:wordWrap/>
        <w:overflowPunct/>
        <w:topLinePunct/>
        <w:autoSpaceDE/>
        <w:autoSpaceDN/>
        <w:bidi w:val="0"/>
        <w:adjustRightInd/>
        <w:snapToGrid/>
        <w:spacing w:line="460" w:lineRule="exact"/>
        <w:ind w:firstLine="641"/>
        <w:textAlignment w:val="auto"/>
        <w:rPr>
          <w:rFonts w:hint="eastAsia" w:ascii="楷体" w:hAnsi="楷体" w:eastAsia="楷体" w:cs="楷体"/>
          <w:sz w:val="32"/>
          <w:lang w:val="en-US" w:eastAsia="zh-CN"/>
        </w:rPr>
      </w:pP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lang w:val="en-US" w:eastAsia="zh-CN"/>
        </w:rPr>
      </w:pPr>
    </w:p>
    <w:p>
      <w:pPr>
        <w:pStyle w:val="4"/>
        <w:keepNext w:val="0"/>
        <w:keepLines w:val="0"/>
        <w:pageBreakBefore w:val="0"/>
        <w:kinsoku/>
        <w:wordWrap/>
        <w:overflowPunct/>
        <w:topLinePunct/>
        <w:autoSpaceDE/>
        <w:autoSpaceDN/>
        <w:bidi w:val="0"/>
        <w:adjustRightInd/>
        <w:snapToGrid/>
        <w:spacing w:beforeAutospacing="0" w:afterAutospacing="0" w:line="580" w:lineRule="exact"/>
        <w:jc w:val="center"/>
        <w:textAlignment w:val="auto"/>
        <w:rPr>
          <w:rFonts w:hint="eastAsia" w:ascii="方正小标宋_GBK" w:hAnsi="方正小标宋_GBK" w:eastAsia="方正小标宋_GBK" w:cs="方正小标宋_GBK"/>
          <w:kern w:val="2"/>
          <w:sz w:val="44"/>
          <w:szCs w:val="44"/>
        </w:rPr>
      </w:pPr>
      <w:r>
        <w:rPr>
          <w:rFonts w:hint="eastAsia" w:ascii="方正小标宋_GBK" w:hAnsi="方正小标宋_GBK" w:eastAsia="方正小标宋_GBK" w:cs="方正小标宋_GBK"/>
          <w:kern w:val="2"/>
          <w:sz w:val="44"/>
          <w:szCs w:val="44"/>
        </w:rPr>
        <w:t>内蒙古自治区加快推动</w:t>
      </w:r>
    </w:p>
    <w:p>
      <w:pPr>
        <w:pStyle w:val="4"/>
        <w:keepNext w:val="0"/>
        <w:keepLines w:val="0"/>
        <w:pageBreakBefore w:val="0"/>
        <w:kinsoku/>
        <w:wordWrap/>
        <w:overflowPunct/>
        <w:topLinePunct/>
        <w:autoSpaceDE/>
        <w:autoSpaceDN/>
        <w:bidi w:val="0"/>
        <w:adjustRightInd/>
        <w:snapToGrid/>
        <w:spacing w:beforeAutospacing="0" w:afterAutospacing="0" w:line="580" w:lineRule="exact"/>
        <w:jc w:val="center"/>
        <w:textAlignment w:val="auto"/>
        <w:rPr>
          <w:rFonts w:hint="eastAsia" w:ascii="方正小标宋简体" w:hAnsi="方正小标宋简体" w:eastAsia="方正小标宋简体" w:cs="方正小标宋简体"/>
          <w:kern w:val="2"/>
          <w:sz w:val="44"/>
          <w:szCs w:val="44"/>
        </w:rPr>
      </w:pPr>
      <w:r>
        <w:rPr>
          <w:rFonts w:hint="eastAsia" w:ascii="方正小标宋_GBK" w:hAnsi="方正小标宋_GBK" w:eastAsia="方正小标宋_GBK" w:cs="方正小标宋_GBK"/>
          <w:spacing w:val="40"/>
          <w:kern w:val="0"/>
          <w:sz w:val="44"/>
          <w:szCs w:val="44"/>
          <w:fitText w:val="6160" w:id="1395532386"/>
        </w:rPr>
        <w:t>建筑领域节能降碳实施方</w:t>
      </w:r>
      <w:r>
        <w:rPr>
          <w:rFonts w:hint="eastAsia" w:ascii="方正小标宋_GBK" w:hAnsi="方正小标宋_GBK" w:eastAsia="方正小标宋_GBK" w:cs="方正小标宋_GBK"/>
          <w:spacing w:val="0"/>
          <w:kern w:val="0"/>
          <w:sz w:val="44"/>
          <w:szCs w:val="44"/>
          <w:fitText w:val="6160" w:id="1395532386"/>
        </w:rPr>
        <w:t>案</w:t>
      </w:r>
    </w:p>
    <w:p>
      <w:pPr>
        <w:pStyle w:val="4"/>
        <w:keepNext w:val="0"/>
        <w:keepLines w:val="0"/>
        <w:pageBreakBefore w:val="0"/>
        <w:kinsoku/>
        <w:wordWrap/>
        <w:overflowPunct/>
        <w:topLinePunct/>
        <w:autoSpaceDE/>
        <w:autoSpaceDN/>
        <w:bidi w:val="0"/>
        <w:adjustRightInd/>
        <w:snapToGrid/>
        <w:spacing w:beforeAutospacing="0" w:afterAutospacing="0" w:line="580" w:lineRule="exact"/>
        <w:jc w:val="both"/>
        <w:textAlignment w:val="auto"/>
        <w:rPr>
          <w:rFonts w:hint="eastAsia" w:ascii="楷体_GB2312" w:hAnsi="楷体_GB2312" w:eastAsia="楷体_GB2312" w:cs="楷体_GB2312"/>
          <w:kern w:val="2"/>
          <w:sz w:val="11"/>
          <w:szCs w:val="11"/>
        </w:rPr>
      </w:pPr>
    </w:p>
    <w:p>
      <w:pPr>
        <w:keepNext w:val="0"/>
        <w:keepLines w:val="0"/>
        <w:pageBreakBefore w:val="0"/>
        <w:widowControl/>
        <w:suppressLineNumbers w:val="0"/>
        <w:kinsoku/>
        <w:wordWrap/>
        <w:overflowPunct/>
        <w:topLinePunct/>
        <w:autoSpaceDE/>
        <w:autoSpaceDN/>
        <w:bidi w:val="0"/>
        <w:adjustRightInd/>
        <w:snapToGrid/>
        <w:spacing w:line="580" w:lineRule="exact"/>
        <w:ind w:firstLine="640" w:firstLineChars="200"/>
        <w:jc w:val="left"/>
        <w:textAlignment w:val="auto"/>
        <w:rPr>
          <w:rFonts w:hint="eastAsia" w:ascii="仿宋" w:hAnsi="仿宋" w:eastAsia="仿宋" w:cs="仿宋"/>
          <w:kern w:val="2"/>
          <w:sz w:val="32"/>
          <w:szCs w:val="32"/>
          <w:u w:val="none"/>
        </w:rPr>
      </w:pPr>
      <w:r>
        <w:rPr>
          <w:rFonts w:hint="eastAsia" w:ascii="仿宋" w:hAnsi="仿宋" w:eastAsia="仿宋" w:cs="仿宋"/>
          <w:kern w:val="2"/>
          <w:sz w:val="32"/>
          <w:szCs w:val="32"/>
          <w:u w:val="none"/>
        </w:rPr>
        <w:t>为贯彻落实党中央、国务院决策部署，促进经济社会全面绿色转型，加快推动</w:t>
      </w:r>
      <w:r>
        <w:rPr>
          <w:rFonts w:hint="eastAsia" w:ascii="仿宋" w:hAnsi="仿宋" w:eastAsia="仿宋" w:cs="仿宋"/>
          <w:kern w:val="2"/>
          <w:sz w:val="32"/>
          <w:szCs w:val="32"/>
          <w:u w:val="none"/>
          <w:lang w:eastAsia="zh-CN"/>
        </w:rPr>
        <w:t>自治区</w:t>
      </w:r>
      <w:r>
        <w:rPr>
          <w:rFonts w:hint="eastAsia" w:ascii="仿宋" w:hAnsi="仿宋" w:eastAsia="仿宋" w:cs="仿宋"/>
          <w:kern w:val="2"/>
          <w:sz w:val="32"/>
          <w:szCs w:val="32"/>
          <w:u w:val="none"/>
        </w:rPr>
        <w:t>建筑领域节能降碳，根据《国务院办公厅关于转发国家发展改革委、住房城乡建设部</w:t>
      </w:r>
      <w:r>
        <w:rPr>
          <w:rFonts w:hint="eastAsia" w:ascii="仿宋" w:hAnsi="仿宋" w:eastAsia="仿宋" w:cs="仿宋"/>
          <w:kern w:val="2"/>
          <w:sz w:val="32"/>
          <w:szCs w:val="32"/>
          <w:u w:val="none"/>
          <w:lang w:eastAsia="zh-CN"/>
        </w:rPr>
        <w:t>〈</w:t>
      </w:r>
      <w:r>
        <w:rPr>
          <w:rFonts w:hint="eastAsia" w:ascii="仿宋" w:hAnsi="仿宋" w:eastAsia="仿宋" w:cs="仿宋"/>
          <w:kern w:val="2"/>
          <w:sz w:val="32"/>
          <w:szCs w:val="32"/>
          <w:u w:val="none"/>
        </w:rPr>
        <w:t>加快推动建筑领域节能降碳工作方案</w:t>
      </w:r>
      <w:r>
        <w:rPr>
          <w:rFonts w:hint="eastAsia" w:ascii="仿宋" w:hAnsi="仿宋" w:eastAsia="仿宋" w:cs="仿宋"/>
          <w:kern w:val="2"/>
          <w:sz w:val="32"/>
          <w:szCs w:val="32"/>
          <w:u w:val="none"/>
          <w:lang w:eastAsia="zh-CN"/>
        </w:rPr>
        <w:t>〉</w:t>
      </w:r>
      <w:r>
        <w:rPr>
          <w:rFonts w:hint="eastAsia" w:ascii="仿宋" w:hAnsi="仿宋" w:eastAsia="仿宋" w:cs="仿宋"/>
          <w:kern w:val="2"/>
          <w:sz w:val="32"/>
          <w:szCs w:val="32"/>
          <w:u w:val="none"/>
        </w:rPr>
        <w:t>的通知》</w:t>
      </w:r>
      <w:r>
        <w:rPr>
          <w:rFonts w:hint="eastAsia" w:ascii="仿宋" w:hAnsi="仿宋" w:eastAsia="仿宋" w:cs="仿宋"/>
          <w:i w:val="0"/>
          <w:caps w:val="0"/>
          <w:color w:val="auto"/>
          <w:spacing w:val="0"/>
          <w:kern w:val="0"/>
          <w:sz w:val="32"/>
          <w:szCs w:val="32"/>
          <w:shd w:val="clear" w:color="auto" w:fill="FFFFFF"/>
          <w:lang w:val="en-US" w:eastAsia="zh-CN" w:bidi="ar"/>
        </w:rPr>
        <w:t>（国办函〔2024〕20号）</w:t>
      </w:r>
      <w:r>
        <w:rPr>
          <w:rFonts w:hint="eastAsia" w:ascii="仿宋" w:hAnsi="仿宋" w:eastAsia="仿宋" w:cs="仿宋"/>
          <w:kern w:val="2"/>
          <w:sz w:val="32"/>
          <w:szCs w:val="32"/>
          <w:u w:val="none"/>
        </w:rPr>
        <w:t>等要求，</w:t>
      </w:r>
      <w:r>
        <w:rPr>
          <w:rFonts w:hint="eastAsia" w:ascii="仿宋" w:hAnsi="仿宋" w:eastAsia="仿宋" w:cs="仿宋"/>
          <w:kern w:val="2"/>
          <w:sz w:val="32"/>
          <w:szCs w:val="32"/>
          <w:u w:val="none"/>
          <w:lang w:eastAsia="zh-CN"/>
        </w:rPr>
        <w:t>以铸牢中华民族共同体意识为工作主线，</w:t>
      </w:r>
      <w:r>
        <w:rPr>
          <w:rFonts w:hint="eastAsia" w:ascii="仿宋" w:hAnsi="仿宋" w:eastAsia="仿宋" w:cs="仿宋"/>
          <w:kern w:val="2"/>
          <w:sz w:val="32"/>
          <w:szCs w:val="32"/>
          <w:u w:val="none"/>
        </w:rPr>
        <w:t>结合自治区实际，制定本方案。</w:t>
      </w:r>
    </w:p>
    <w:p>
      <w:pPr>
        <w:pStyle w:val="4"/>
        <w:keepNext w:val="0"/>
        <w:keepLines w:val="0"/>
        <w:pageBreakBefore w:val="0"/>
        <w:kinsoku/>
        <w:wordWrap/>
        <w:overflowPunct/>
        <w:topLinePunct/>
        <w:autoSpaceDE/>
        <w:autoSpaceDN/>
        <w:bidi w:val="0"/>
        <w:adjustRightInd/>
        <w:snapToGrid/>
        <w:spacing w:beforeAutospacing="0" w:afterAutospacing="0" w:line="580" w:lineRule="exact"/>
        <w:ind w:firstLine="640" w:firstLineChars="200"/>
        <w:jc w:val="both"/>
        <w:textAlignment w:val="auto"/>
        <w:rPr>
          <w:rFonts w:hint="eastAsia" w:ascii="黑体" w:hAnsi="黑体" w:eastAsia="黑体" w:cs="黑体"/>
          <w:kern w:val="2"/>
          <w:sz w:val="32"/>
          <w:szCs w:val="32"/>
          <w:u w:val="none"/>
        </w:rPr>
      </w:pPr>
      <w:r>
        <w:rPr>
          <w:rFonts w:hint="eastAsia" w:ascii="黑体" w:hAnsi="黑体" w:eastAsia="黑体" w:cs="黑体"/>
          <w:kern w:val="2"/>
          <w:sz w:val="32"/>
          <w:szCs w:val="32"/>
          <w:u w:val="none"/>
        </w:rPr>
        <w:t>一、主要目标</w:t>
      </w:r>
    </w:p>
    <w:p>
      <w:pPr>
        <w:pStyle w:val="4"/>
        <w:keepNext w:val="0"/>
        <w:keepLines w:val="0"/>
        <w:pageBreakBefore w:val="0"/>
        <w:kinsoku/>
        <w:wordWrap/>
        <w:overflowPunct/>
        <w:topLinePunct/>
        <w:autoSpaceDE/>
        <w:autoSpaceDN/>
        <w:bidi w:val="0"/>
        <w:adjustRightInd/>
        <w:snapToGrid/>
        <w:spacing w:beforeAutospacing="0" w:afterAutospacing="0" w:line="580" w:lineRule="exact"/>
        <w:ind w:firstLine="640" w:firstLineChars="200"/>
        <w:jc w:val="both"/>
        <w:textAlignment w:val="auto"/>
        <w:rPr>
          <w:rFonts w:hint="eastAsia" w:ascii="仿宋" w:hAnsi="仿宋" w:eastAsia="仿宋" w:cs="仿宋"/>
          <w:kern w:val="2"/>
          <w:sz w:val="32"/>
          <w:szCs w:val="32"/>
          <w:u w:val="none"/>
        </w:rPr>
      </w:pPr>
      <w:r>
        <w:rPr>
          <w:rFonts w:hint="eastAsia" w:ascii="仿宋" w:hAnsi="仿宋" w:eastAsia="仿宋" w:cs="仿宋"/>
          <w:kern w:val="2"/>
          <w:sz w:val="32"/>
          <w:szCs w:val="32"/>
          <w:u w:val="none"/>
        </w:rPr>
        <w:t>到2025年，全区建筑领域节能降碳制度体系更加健全，城镇新建建筑全面执行绿色建筑标准，新建超低能耗、近零能耗建筑面积超过30万平方米，完成既有建筑节能改造面积比2023年增长500万平方米以上，建筑用能中电力消费占比力争超过40%，城镇建筑可再生能源替代率稳步提高，建筑领域节能降碳取得积极进展。到2027年，既有建筑节能改造规模进一步扩大，建成一批超低能耗建筑，建筑用能结构更加优化，绿色低碳高品质建筑实现规模化发展，建筑领域节能降碳取得显著成效。</w:t>
      </w:r>
    </w:p>
    <w:p>
      <w:pPr>
        <w:pStyle w:val="4"/>
        <w:keepNext w:val="0"/>
        <w:keepLines w:val="0"/>
        <w:pageBreakBefore w:val="0"/>
        <w:kinsoku/>
        <w:wordWrap/>
        <w:overflowPunct/>
        <w:topLinePunct/>
        <w:autoSpaceDE/>
        <w:autoSpaceDN/>
        <w:bidi w:val="0"/>
        <w:adjustRightInd/>
        <w:snapToGrid/>
        <w:spacing w:beforeAutospacing="0" w:afterAutospacing="0" w:line="580" w:lineRule="exact"/>
        <w:ind w:firstLine="640" w:firstLineChars="200"/>
        <w:jc w:val="both"/>
        <w:textAlignment w:val="auto"/>
        <w:rPr>
          <w:rFonts w:hint="eastAsia" w:ascii="方正黑体_GBK" w:hAnsi="方正黑体_GBK" w:eastAsia="方正黑体_GBK" w:cs="方正黑体_GBK"/>
          <w:kern w:val="2"/>
          <w:sz w:val="32"/>
          <w:szCs w:val="32"/>
          <w:u w:val="none"/>
        </w:rPr>
      </w:pPr>
      <w:r>
        <w:rPr>
          <w:rFonts w:hint="eastAsia" w:ascii="黑体" w:hAnsi="黑体" w:eastAsia="黑体" w:cs="黑体"/>
          <w:kern w:val="2"/>
          <w:sz w:val="32"/>
          <w:szCs w:val="32"/>
          <w:u w:val="none"/>
        </w:rPr>
        <w:t>二、重点任务</w:t>
      </w:r>
    </w:p>
    <w:p>
      <w:pPr>
        <w:keepNext w:val="0"/>
        <w:keepLines w:val="0"/>
        <w:pageBreakBefore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u w:val="none"/>
        </w:rPr>
      </w:pPr>
      <w:r>
        <w:rPr>
          <w:rFonts w:hint="eastAsia" w:ascii="楷体" w:hAnsi="楷体" w:eastAsia="楷体" w:cs="楷体"/>
          <w:bCs/>
          <w:sz w:val="32"/>
          <w:szCs w:val="32"/>
          <w:u w:val="none"/>
        </w:rPr>
        <w:t>（一）提升城镇新建建筑节能降碳水平。</w:t>
      </w:r>
      <w:r>
        <w:rPr>
          <w:rFonts w:hint="eastAsia" w:ascii="仿宋" w:hAnsi="仿宋" w:eastAsia="仿宋" w:cs="仿宋"/>
          <w:sz w:val="32"/>
          <w:szCs w:val="32"/>
          <w:u w:val="none"/>
        </w:rPr>
        <w:t>优化新建建筑节能降</w:t>
      </w:r>
      <w:r>
        <w:rPr>
          <w:rFonts w:hint="eastAsia" w:ascii="仿宋" w:hAnsi="仿宋" w:eastAsia="仿宋" w:cs="仿宋"/>
          <w:spacing w:val="6"/>
          <w:sz w:val="32"/>
          <w:szCs w:val="32"/>
          <w:u w:val="none"/>
        </w:rPr>
        <w:t>碳设计，充分利用自然采光和通风，采用高效节能低碳设备</w:t>
      </w:r>
      <w:r>
        <w:rPr>
          <w:rFonts w:hint="eastAsia" w:ascii="仿宋" w:hAnsi="仿宋" w:eastAsia="仿宋" w:cs="仿宋"/>
          <w:sz w:val="32"/>
          <w:szCs w:val="32"/>
          <w:u w:val="none"/>
        </w:rPr>
        <w:t>，提高建筑围护结构的保温隔热和防火性能。加强新建建筑节能强制</w:t>
      </w:r>
      <w:r>
        <w:rPr>
          <w:rFonts w:hint="eastAsia" w:ascii="仿宋" w:hAnsi="仿宋" w:eastAsia="仿宋" w:cs="仿宋"/>
          <w:spacing w:val="6"/>
          <w:sz w:val="32"/>
          <w:szCs w:val="32"/>
          <w:u w:val="none"/>
        </w:rPr>
        <w:t>性标准全过程管理，特别是施工图审查和工程项目验收环节</w:t>
      </w:r>
      <w:r>
        <w:rPr>
          <w:rFonts w:hint="eastAsia" w:ascii="仿宋" w:hAnsi="仿宋" w:eastAsia="仿宋" w:cs="仿宋"/>
          <w:sz w:val="32"/>
          <w:szCs w:val="32"/>
          <w:u w:val="none"/>
          <w:lang w:eastAsia="zh-CN"/>
        </w:rPr>
        <w:t>，</w:t>
      </w:r>
      <w:r>
        <w:rPr>
          <w:rFonts w:hint="eastAsia" w:ascii="仿宋" w:hAnsi="仿宋" w:eastAsia="仿宋" w:cs="仿宋"/>
          <w:sz w:val="32"/>
          <w:szCs w:val="32"/>
          <w:u w:val="none"/>
        </w:rPr>
        <w:t>确保设计和施工执行率达到100%。强化年运行能耗1000吨标准煤（或电耗500万千瓦时）及以上建筑项目节能审查，严格执行建筑节能降碳强制性标准。完善超低能耗建筑和绿色建筑相关技术标准体系，鼓励政府投资的公益性建筑按超低能耗建筑标准建设，</w:t>
      </w:r>
      <w:r>
        <w:rPr>
          <w:rFonts w:hint="eastAsia" w:ascii="仿宋" w:hAnsi="仿宋" w:eastAsia="仿宋" w:cs="仿宋"/>
          <w:sz w:val="32"/>
          <w:szCs w:val="32"/>
          <w:u w:val="none"/>
          <w:lang w:eastAsia="zh-CN"/>
        </w:rPr>
        <w:t>呼和浩特市、包头市、</w:t>
      </w:r>
      <w:r>
        <w:rPr>
          <w:rFonts w:hint="eastAsia" w:ascii="仿宋" w:hAnsi="仿宋" w:eastAsia="仿宋" w:cs="仿宋"/>
          <w:sz w:val="32"/>
          <w:szCs w:val="32"/>
          <w:u w:val="none"/>
        </w:rPr>
        <w:t>鄂</w:t>
      </w:r>
      <w:r>
        <w:rPr>
          <w:rFonts w:hint="eastAsia" w:ascii="仿宋" w:hAnsi="仿宋" w:eastAsia="仿宋" w:cs="仿宋"/>
          <w:sz w:val="32"/>
          <w:szCs w:val="32"/>
          <w:u w:val="none"/>
          <w:lang w:eastAsia="zh-CN"/>
        </w:rPr>
        <w:t>尔多斯市</w:t>
      </w:r>
      <w:r>
        <w:rPr>
          <w:rFonts w:hint="eastAsia" w:ascii="仿宋" w:hAnsi="仿宋" w:eastAsia="仿宋" w:cs="仿宋"/>
          <w:sz w:val="32"/>
          <w:szCs w:val="32"/>
          <w:u w:val="none"/>
        </w:rPr>
        <w:t>等有条件的地区要加快推动超低能耗建筑规模化发展。持续提升新建建筑中星级绿色建筑比例，机关办公建筑、保障性住房、公益性建筑、2万平方米以上大型公共建筑、5万平方米以上居住小区、城市新建区与绿色生态城区中民用建筑全面执行星级绿色建筑标准，在核发用地规划设计条件书以及选址意见时，在“建设要求”中明确执行星级绿色建筑标准。</w:t>
      </w:r>
      <w:r>
        <w:rPr>
          <w:rFonts w:hint="eastAsia" w:ascii="楷体" w:hAnsi="楷体" w:eastAsia="楷体" w:cs="楷体"/>
          <w:sz w:val="32"/>
          <w:szCs w:val="32"/>
          <w:u w:val="none"/>
        </w:rPr>
        <w:t>（自治区自然资源厅、住房城乡建设厅、发展改革委、机关事务管理局等按职责分工负责，各盟行</w:t>
      </w:r>
      <w:r>
        <w:rPr>
          <w:rFonts w:hint="eastAsia" w:ascii="楷体" w:hAnsi="楷体" w:eastAsia="楷体" w:cs="楷体"/>
          <w:sz w:val="32"/>
          <w:szCs w:val="32"/>
          <w:u w:val="none"/>
          <w:lang w:eastAsia="zh-CN"/>
        </w:rPr>
        <w:t>政公</w:t>
      </w:r>
      <w:r>
        <w:rPr>
          <w:rFonts w:hint="eastAsia" w:ascii="楷体" w:hAnsi="楷体" w:eastAsia="楷体" w:cs="楷体"/>
          <w:sz w:val="32"/>
          <w:szCs w:val="32"/>
          <w:u w:val="none"/>
        </w:rPr>
        <w:t>署、市人民政府落实。以下任务均需各盟行</w:t>
      </w:r>
      <w:r>
        <w:rPr>
          <w:rFonts w:hint="eastAsia" w:ascii="楷体" w:hAnsi="楷体" w:eastAsia="楷体" w:cs="楷体"/>
          <w:sz w:val="32"/>
          <w:szCs w:val="32"/>
          <w:u w:val="none"/>
          <w:lang w:eastAsia="zh-CN"/>
        </w:rPr>
        <w:t>政公</w:t>
      </w:r>
      <w:r>
        <w:rPr>
          <w:rFonts w:hint="eastAsia" w:ascii="楷体" w:hAnsi="楷体" w:eastAsia="楷体" w:cs="楷体"/>
          <w:sz w:val="32"/>
          <w:szCs w:val="32"/>
          <w:u w:val="none"/>
        </w:rPr>
        <w:t>署、市人民政府落实，不再列出）</w:t>
      </w:r>
    </w:p>
    <w:p>
      <w:pPr>
        <w:pStyle w:val="4"/>
        <w:keepNext w:val="0"/>
        <w:keepLines w:val="0"/>
        <w:pageBreakBefore w:val="0"/>
        <w:kinsoku/>
        <w:wordWrap/>
        <w:overflowPunct/>
        <w:topLinePunct/>
        <w:autoSpaceDE/>
        <w:autoSpaceDN/>
        <w:bidi w:val="0"/>
        <w:adjustRightInd/>
        <w:snapToGrid/>
        <w:spacing w:beforeAutospacing="0" w:afterAutospacing="0" w:line="580" w:lineRule="exact"/>
        <w:ind w:firstLine="640" w:firstLineChars="200"/>
        <w:jc w:val="both"/>
        <w:textAlignment w:val="auto"/>
        <w:rPr>
          <w:rFonts w:hint="eastAsia" w:ascii="楷体" w:hAnsi="楷体" w:eastAsia="楷体" w:cs="楷体"/>
          <w:kern w:val="2"/>
          <w:sz w:val="32"/>
          <w:szCs w:val="32"/>
          <w:u w:val="none"/>
        </w:rPr>
      </w:pPr>
      <w:r>
        <w:rPr>
          <w:rFonts w:hint="eastAsia" w:ascii="楷体" w:hAnsi="楷体" w:eastAsia="楷体" w:cs="楷体"/>
          <w:bCs/>
          <w:kern w:val="2"/>
          <w:sz w:val="32"/>
          <w:szCs w:val="32"/>
          <w:u w:val="none"/>
        </w:rPr>
        <w:t>（二）推进城镇既有建筑改造升级。</w:t>
      </w:r>
      <w:r>
        <w:rPr>
          <w:rFonts w:hint="eastAsia" w:ascii="仿宋" w:hAnsi="仿宋" w:eastAsia="仿宋" w:cs="仿宋"/>
          <w:kern w:val="2"/>
          <w:sz w:val="32"/>
          <w:szCs w:val="32"/>
          <w:u w:val="none"/>
        </w:rPr>
        <w:t>组织实施能效诊断，全面开展城镇既有建筑摸底调查，建立</w:t>
      </w:r>
      <w:r>
        <w:rPr>
          <w:rFonts w:hint="eastAsia" w:ascii="仿宋" w:hAnsi="仿宋" w:eastAsia="仿宋" w:cs="仿宋"/>
          <w:color w:val="auto"/>
          <w:kern w:val="2"/>
          <w:sz w:val="32"/>
          <w:szCs w:val="32"/>
          <w:u w:val="none"/>
          <w:lang w:eastAsia="zh-CN"/>
        </w:rPr>
        <w:t>盟</w:t>
      </w:r>
      <w:r>
        <w:rPr>
          <w:rFonts w:hint="eastAsia" w:ascii="仿宋" w:hAnsi="仿宋" w:eastAsia="仿宋" w:cs="仿宋"/>
          <w:color w:val="auto"/>
          <w:kern w:val="2"/>
          <w:sz w:val="32"/>
          <w:szCs w:val="32"/>
          <w:u w:val="none"/>
        </w:rPr>
        <w:t>市级建筑</w:t>
      </w:r>
      <w:r>
        <w:rPr>
          <w:rFonts w:hint="eastAsia" w:ascii="仿宋" w:hAnsi="仿宋" w:eastAsia="仿宋" w:cs="仿宋"/>
          <w:kern w:val="2"/>
          <w:sz w:val="32"/>
          <w:szCs w:val="32"/>
          <w:u w:val="none"/>
        </w:rPr>
        <w:t>节能降碳改造数据</w:t>
      </w:r>
      <w:r>
        <w:rPr>
          <w:rFonts w:hint="eastAsia" w:ascii="仿宋" w:hAnsi="仿宋" w:eastAsia="仿宋" w:cs="仿宋"/>
          <w:spacing w:val="6"/>
          <w:kern w:val="2"/>
          <w:sz w:val="32"/>
          <w:szCs w:val="32"/>
          <w:u w:val="none"/>
        </w:rPr>
        <w:t>库和项目储备库。以</w:t>
      </w:r>
      <w:r>
        <w:rPr>
          <w:rFonts w:hint="eastAsia" w:ascii="仿宋" w:hAnsi="仿宋" w:eastAsia="仿宋" w:cs="仿宋"/>
          <w:spacing w:val="6"/>
          <w:kern w:val="2"/>
          <w:sz w:val="32"/>
          <w:szCs w:val="32"/>
          <w:u w:val="none"/>
          <w:lang w:eastAsia="zh-CN"/>
        </w:rPr>
        <w:t>盟</w:t>
      </w:r>
      <w:r>
        <w:rPr>
          <w:rFonts w:hint="eastAsia" w:ascii="仿宋" w:hAnsi="仿宋" w:eastAsia="仿宋" w:cs="仿宋"/>
          <w:spacing w:val="6"/>
          <w:kern w:val="2"/>
          <w:sz w:val="32"/>
          <w:szCs w:val="32"/>
          <w:u w:val="none"/>
        </w:rPr>
        <w:t>市为单位制定既有建筑年度改造计</w:t>
      </w:r>
      <w:r>
        <w:rPr>
          <w:rFonts w:hint="eastAsia" w:ascii="仿宋" w:hAnsi="仿宋" w:eastAsia="仿宋" w:cs="仿宋"/>
          <w:kern w:val="2"/>
          <w:sz w:val="32"/>
          <w:szCs w:val="32"/>
          <w:u w:val="none"/>
        </w:rPr>
        <w:t>划，合理确定改造时序，结合房屋安全情况，明确空调、照明、电梯等</w:t>
      </w:r>
      <w:r>
        <w:rPr>
          <w:rFonts w:hint="eastAsia" w:ascii="仿宋" w:hAnsi="仿宋" w:eastAsia="仿宋" w:cs="仿宋"/>
          <w:spacing w:val="6"/>
          <w:kern w:val="2"/>
          <w:sz w:val="32"/>
          <w:szCs w:val="32"/>
          <w:u w:val="none"/>
        </w:rPr>
        <w:t>重点用能设备和外墙保温、门窗等为重点内容进行升级</w:t>
      </w:r>
      <w:r>
        <w:rPr>
          <w:rFonts w:hint="eastAsia" w:ascii="仿宋" w:hAnsi="仿宋" w:eastAsia="仿宋" w:cs="仿宋"/>
          <w:kern w:val="2"/>
          <w:sz w:val="32"/>
          <w:szCs w:val="32"/>
          <w:u w:val="none"/>
        </w:rPr>
        <w:t>改造。以</w:t>
      </w:r>
      <w:r>
        <w:rPr>
          <w:rFonts w:hint="eastAsia" w:ascii="仿宋" w:hAnsi="仿宋" w:eastAsia="仿宋" w:cs="仿宋"/>
          <w:kern w:val="2"/>
          <w:sz w:val="32"/>
          <w:szCs w:val="32"/>
          <w:u w:val="none"/>
          <w:lang w:eastAsia="zh-CN"/>
        </w:rPr>
        <w:t>纳入</w:t>
      </w:r>
      <w:r>
        <w:rPr>
          <w:rFonts w:hint="eastAsia" w:ascii="仿宋" w:hAnsi="仿宋" w:eastAsia="仿宋" w:cs="仿宋"/>
          <w:color w:val="auto"/>
          <w:kern w:val="2"/>
          <w:sz w:val="32"/>
          <w:szCs w:val="32"/>
          <w:u w:val="none"/>
        </w:rPr>
        <w:t>公共建筑能效提升重点城市</w:t>
      </w:r>
      <w:r>
        <w:rPr>
          <w:rFonts w:hint="eastAsia" w:ascii="仿宋" w:hAnsi="仿宋" w:eastAsia="仿宋" w:cs="仿宋"/>
          <w:color w:val="auto"/>
          <w:kern w:val="2"/>
          <w:sz w:val="32"/>
          <w:szCs w:val="32"/>
          <w:u w:val="none"/>
          <w:lang w:eastAsia="zh-CN"/>
        </w:rPr>
        <w:t>的</w:t>
      </w:r>
      <w:r>
        <w:rPr>
          <w:rFonts w:hint="eastAsia" w:ascii="仿宋" w:hAnsi="仿宋" w:eastAsia="仿宋" w:cs="仿宋"/>
          <w:color w:val="auto"/>
          <w:kern w:val="2"/>
          <w:sz w:val="32"/>
          <w:szCs w:val="32"/>
          <w:u w:val="none"/>
        </w:rPr>
        <w:t>呼和浩特市、包头市和</w:t>
      </w:r>
      <w:r>
        <w:rPr>
          <w:rFonts w:hint="eastAsia" w:ascii="仿宋" w:hAnsi="仿宋" w:eastAsia="仿宋" w:cs="仿宋"/>
          <w:color w:val="auto"/>
          <w:kern w:val="2"/>
          <w:sz w:val="32"/>
          <w:szCs w:val="32"/>
          <w:u w:val="none"/>
          <w:lang w:eastAsia="zh-CN"/>
        </w:rPr>
        <w:t>纳入</w:t>
      </w:r>
      <w:r>
        <w:rPr>
          <w:rFonts w:hint="eastAsia" w:ascii="仿宋" w:hAnsi="仿宋" w:eastAsia="仿宋" w:cs="仿宋"/>
          <w:color w:val="auto"/>
          <w:kern w:val="2"/>
          <w:sz w:val="32"/>
          <w:szCs w:val="32"/>
          <w:u w:val="none"/>
        </w:rPr>
        <w:t>清洁取暖试点城市</w:t>
      </w:r>
      <w:r>
        <w:rPr>
          <w:rFonts w:hint="eastAsia" w:ascii="仿宋" w:hAnsi="仿宋" w:eastAsia="仿宋" w:cs="仿宋"/>
          <w:color w:val="auto"/>
          <w:kern w:val="2"/>
          <w:sz w:val="32"/>
          <w:szCs w:val="32"/>
          <w:u w:val="none"/>
          <w:lang w:eastAsia="zh-CN"/>
        </w:rPr>
        <w:t>的</w:t>
      </w:r>
      <w:r>
        <w:rPr>
          <w:rFonts w:hint="eastAsia" w:ascii="仿宋" w:hAnsi="仿宋" w:eastAsia="仿宋" w:cs="仿宋"/>
          <w:color w:val="auto"/>
          <w:kern w:val="2"/>
          <w:sz w:val="32"/>
          <w:szCs w:val="32"/>
          <w:u w:val="none"/>
        </w:rPr>
        <w:t>呼和浩特市、包头市、乌兰察布市、巴彦淖尔市等为重点，其</w:t>
      </w:r>
      <w:r>
        <w:rPr>
          <w:rFonts w:hint="eastAsia" w:ascii="仿宋" w:hAnsi="仿宋" w:eastAsia="仿宋" w:cs="仿宋"/>
          <w:color w:val="auto"/>
          <w:kern w:val="2"/>
          <w:sz w:val="32"/>
          <w:szCs w:val="32"/>
          <w:u w:val="none"/>
          <w:lang w:eastAsia="zh-CN"/>
        </w:rPr>
        <w:t>他</w:t>
      </w:r>
      <w:r>
        <w:rPr>
          <w:rFonts w:hint="eastAsia" w:ascii="仿宋" w:hAnsi="仿宋" w:eastAsia="仿宋" w:cs="仿宋"/>
          <w:color w:val="auto"/>
          <w:kern w:val="2"/>
          <w:sz w:val="32"/>
          <w:szCs w:val="32"/>
          <w:u w:val="none"/>
        </w:rPr>
        <w:t>盟市创造条件积极推动，结合绿色低碳公共机构创建工作，统筹</w:t>
      </w:r>
      <w:r>
        <w:rPr>
          <w:rFonts w:hint="eastAsia" w:ascii="仿宋" w:hAnsi="仿宋" w:eastAsia="仿宋" w:cs="仿宋"/>
          <w:kern w:val="2"/>
          <w:sz w:val="32"/>
          <w:szCs w:val="32"/>
          <w:u w:val="none"/>
        </w:rPr>
        <w:t>开展既有公共建筑节能改造。居住建筑节能改造部分的能效应达到现行标准规定，未采取节能措施的公共建筑改造后实现整体能效提升20%以上。</w:t>
      </w:r>
      <w:r>
        <w:rPr>
          <w:rFonts w:hint="eastAsia" w:ascii="楷体" w:hAnsi="楷体" w:eastAsia="楷体" w:cs="楷体"/>
          <w:kern w:val="2"/>
          <w:sz w:val="32"/>
          <w:szCs w:val="32"/>
          <w:u w:val="none"/>
        </w:rPr>
        <w:t>（自治区住房城乡建设厅、发展改革委、机关事务管理局按职责分工负责）</w:t>
      </w:r>
    </w:p>
    <w:p>
      <w:pPr>
        <w:pStyle w:val="4"/>
        <w:keepNext w:val="0"/>
        <w:keepLines w:val="0"/>
        <w:pageBreakBefore w:val="0"/>
        <w:kinsoku/>
        <w:wordWrap/>
        <w:overflowPunct/>
        <w:topLinePunct/>
        <w:autoSpaceDE/>
        <w:autoSpaceDN/>
        <w:bidi w:val="0"/>
        <w:adjustRightInd/>
        <w:snapToGrid/>
        <w:spacing w:beforeAutospacing="0" w:afterAutospacing="0" w:line="580" w:lineRule="exact"/>
        <w:ind w:firstLine="640" w:firstLineChars="200"/>
        <w:jc w:val="both"/>
        <w:textAlignment w:val="auto"/>
        <w:rPr>
          <w:rFonts w:hint="eastAsia" w:ascii="楷体" w:hAnsi="楷体" w:eastAsia="楷体" w:cs="楷体"/>
          <w:kern w:val="2"/>
          <w:sz w:val="32"/>
          <w:szCs w:val="32"/>
          <w:u w:val="none"/>
        </w:rPr>
      </w:pPr>
      <w:r>
        <w:rPr>
          <w:rFonts w:hint="eastAsia" w:ascii="楷体" w:hAnsi="楷体" w:eastAsia="楷体" w:cs="楷体"/>
          <w:bCs/>
          <w:kern w:val="2"/>
          <w:sz w:val="32"/>
          <w:szCs w:val="32"/>
          <w:u w:val="none"/>
        </w:rPr>
        <w:t>（三）强</w:t>
      </w:r>
      <w:r>
        <w:rPr>
          <w:rFonts w:hint="eastAsia" w:ascii="楷体" w:hAnsi="楷体" w:eastAsia="楷体" w:cs="楷体"/>
          <w:bCs/>
          <w:spacing w:val="-6"/>
          <w:kern w:val="2"/>
          <w:sz w:val="32"/>
          <w:szCs w:val="32"/>
          <w:u w:val="none"/>
        </w:rPr>
        <w:t>化</w:t>
      </w:r>
      <w:r>
        <w:rPr>
          <w:rFonts w:hint="eastAsia" w:ascii="楷体" w:hAnsi="楷体" w:eastAsia="楷体" w:cs="楷体"/>
          <w:bCs/>
          <w:spacing w:val="0"/>
          <w:kern w:val="2"/>
          <w:sz w:val="32"/>
          <w:szCs w:val="32"/>
          <w:u w:val="none"/>
        </w:rPr>
        <w:t>建筑运行节能降碳管理</w:t>
      </w:r>
      <w:r>
        <w:rPr>
          <w:rFonts w:hint="eastAsia" w:ascii="楷体" w:hAnsi="楷体" w:eastAsia="楷体" w:cs="楷体"/>
          <w:spacing w:val="0"/>
          <w:kern w:val="2"/>
          <w:sz w:val="32"/>
          <w:szCs w:val="32"/>
          <w:u w:val="none"/>
        </w:rPr>
        <w:t>。</w:t>
      </w:r>
      <w:r>
        <w:rPr>
          <w:rFonts w:hint="eastAsia" w:ascii="仿宋" w:hAnsi="仿宋" w:eastAsia="仿宋" w:cs="仿宋"/>
          <w:spacing w:val="0"/>
          <w:kern w:val="2"/>
          <w:sz w:val="32"/>
          <w:szCs w:val="32"/>
          <w:u w:val="none"/>
        </w:rPr>
        <w:t>推进</w:t>
      </w:r>
      <w:r>
        <w:rPr>
          <w:rFonts w:hint="eastAsia" w:ascii="仿宋" w:hAnsi="仿宋" w:eastAsia="仿宋" w:cs="仿宋"/>
          <w:spacing w:val="-6"/>
          <w:kern w:val="2"/>
          <w:sz w:val="32"/>
          <w:szCs w:val="32"/>
          <w:u w:val="none"/>
        </w:rPr>
        <w:t>住宅老</w:t>
      </w:r>
      <w:r>
        <w:rPr>
          <w:rFonts w:hint="eastAsia" w:ascii="仿宋" w:hAnsi="仿宋" w:eastAsia="仿宋" w:cs="仿宋"/>
          <w:kern w:val="2"/>
          <w:sz w:val="32"/>
          <w:szCs w:val="32"/>
          <w:u w:val="none"/>
        </w:rPr>
        <w:t>旧电梯更新，加大高效节能家电等设备推广力度，鼓励居民更换低效落后用能设备。编修建筑节能产品和技术推广目录。各盟市要加快建立并严</w:t>
      </w:r>
      <w:r>
        <w:rPr>
          <w:rFonts w:hint="eastAsia" w:ascii="仿宋" w:hAnsi="仿宋" w:eastAsia="仿宋" w:cs="仿宋"/>
          <w:spacing w:val="6"/>
          <w:kern w:val="2"/>
          <w:sz w:val="32"/>
          <w:szCs w:val="32"/>
          <w:u w:val="none"/>
        </w:rPr>
        <w:t>格执行公共建筑室内温度控制机制，严肃查处违法</w:t>
      </w:r>
      <w:r>
        <w:rPr>
          <w:rFonts w:hint="eastAsia" w:ascii="仿宋" w:hAnsi="仿宋" w:eastAsia="仿宋" w:cs="仿宋"/>
          <w:kern w:val="2"/>
          <w:sz w:val="32"/>
          <w:szCs w:val="32"/>
          <w:u w:val="none"/>
        </w:rPr>
        <w:t>用能行为，聚焦公共机构办公和技术业务用房、国有企业办公用房、交通场站等公共建筑，依法开展建筑冬夏室内温度控制、用能设备和系统运行等情况检查。完善自治区能耗在线监测系统建设运行，不断增加公共建筑监测数量。探索公共机构能耗定额预算制度，推行合同能源、合同节水管理，选取节能潜力大的公共机构进行能源费用托管服务培育，开展好绿色低碳公共机构创建及宣传倡导工作。定期开展公共建筑空调、照明、电梯等重点用能设备调试保养。</w:t>
      </w:r>
      <w:r>
        <w:rPr>
          <w:rFonts w:hint="eastAsia" w:ascii="仿宋" w:hAnsi="仿宋" w:eastAsia="仿宋" w:cs="仿宋"/>
          <w:spacing w:val="6"/>
          <w:kern w:val="2"/>
          <w:sz w:val="32"/>
          <w:szCs w:val="32"/>
          <w:u w:val="none"/>
        </w:rPr>
        <w:t>在大型公共建筑中探索推广应用高效柔性智能调控技</w:t>
      </w:r>
      <w:r>
        <w:rPr>
          <w:rFonts w:hint="eastAsia" w:ascii="仿宋" w:hAnsi="仿宋" w:eastAsia="仿宋" w:cs="仿宋"/>
          <w:kern w:val="2"/>
          <w:sz w:val="32"/>
          <w:szCs w:val="32"/>
          <w:u w:val="none"/>
        </w:rPr>
        <w:t>术，合理调配用电负荷。</w:t>
      </w:r>
      <w:r>
        <w:rPr>
          <w:rFonts w:hint="eastAsia" w:ascii="楷体" w:hAnsi="楷体" w:eastAsia="楷体" w:cs="楷体"/>
          <w:kern w:val="2"/>
          <w:sz w:val="32"/>
          <w:szCs w:val="32"/>
          <w:u w:val="none"/>
        </w:rPr>
        <w:t>（自治区住房城乡建设厅、教育厅、科技厅、交通</w:t>
      </w:r>
      <w:r>
        <w:rPr>
          <w:rFonts w:hint="eastAsia" w:ascii="楷体" w:hAnsi="楷体" w:eastAsia="楷体" w:cs="楷体"/>
          <w:kern w:val="2"/>
          <w:sz w:val="32"/>
          <w:szCs w:val="32"/>
          <w:u w:val="none"/>
          <w:lang w:eastAsia="zh-CN"/>
        </w:rPr>
        <w:t>运输</w:t>
      </w:r>
      <w:r>
        <w:rPr>
          <w:rFonts w:hint="eastAsia" w:ascii="楷体" w:hAnsi="楷体" w:eastAsia="楷体" w:cs="楷体"/>
          <w:kern w:val="2"/>
          <w:sz w:val="32"/>
          <w:szCs w:val="32"/>
          <w:u w:val="none"/>
        </w:rPr>
        <w:t>厅、商务厅、文</w:t>
      </w:r>
      <w:r>
        <w:rPr>
          <w:rFonts w:hint="eastAsia" w:ascii="楷体" w:hAnsi="楷体" w:eastAsia="楷体" w:cs="楷体"/>
          <w:kern w:val="2"/>
          <w:sz w:val="32"/>
          <w:szCs w:val="32"/>
          <w:u w:val="none"/>
          <w:lang w:eastAsia="zh-CN"/>
        </w:rPr>
        <w:t>化和旅游</w:t>
      </w:r>
      <w:r>
        <w:rPr>
          <w:rFonts w:hint="eastAsia" w:ascii="楷体" w:hAnsi="楷体" w:eastAsia="楷体" w:cs="楷体"/>
          <w:kern w:val="2"/>
          <w:sz w:val="32"/>
          <w:szCs w:val="32"/>
          <w:u w:val="none"/>
        </w:rPr>
        <w:t>厅、</w:t>
      </w:r>
      <w:r>
        <w:rPr>
          <w:rFonts w:hint="eastAsia" w:ascii="楷体" w:hAnsi="楷体" w:eastAsia="楷体" w:cs="楷体"/>
          <w:kern w:val="2"/>
          <w:sz w:val="32"/>
          <w:szCs w:val="32"/>
          <w:u w:val="none"/>
          <w:lang w:eastAsia="zh-CN"/>
        </w:rPr>
        <w:t>卫生健康</w:t>
      </w:r>
      <w:r>
        <w:rPr>
          <w:rFonts w:hint="eastAsia" w:ascii="楷体" w:hAnsi="楷体" w:eastAsia="楷体" w:cs="楷体"/>
          <w:kern w:val="2"/>
          <w:sz w:val="32"/>
          <w:szCs w:val="32"/>
          <w:u w:val="none"/>
        </w:rPr>
        <w:t>委、国资委、市场监管局、体育局、</w:t>
      </w:r>
      <w:r>
        <w:rPr>
          <w:rFonts w:hint="eastAsia" w:ascii="楷体" w:hAnsi="楷体" w:eastAsia="楷体" w:cs="楷体"/>
          <w:kern w:val="2"/>
          <w:sz w:val="32"/>
          <w:szCs w:val="32"/>
          <w:u w:val="none"/>
          <w:lang w:eastAsia="zh-CN"/>
        </w:rPr>
        <w:t>能源局、</w:t>
      </w:r>
      <w:r>
        <w:rPr>
          <w:rFonts w:hint="eastAsia" w:ascii="楷体" w:hAnsi="楷体" w:eastAsia="楷体" w:cs="楷体"/>
          <w:kern w:val="2"/>
          <w:sz w:val="32"/>
          <w:szCs w:val="32"/>
          <w:u w:val="none"/>
        </w:rPr>
        <w:t>机关事务管理局、科协等按职责分工负责）</w:t>
      </w:r>
    </w:p>
    <w:p>
      <w:pPr>
        <w:keepNext w:val="0"/>
        <w:keepLines w:val="0"/>
        <w:pageBreakBefore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u w:val="none"/>
        </w:rPr>
      </w:pPr>
      <w:r>
        <w:rPr>
          <w:rFonts w:hint="eastAsia" w:ascii="楷体" w:hAnsi="楷体" w:eastAsia="楷体" w:cs="楷体"/>
          <w:bCs/>
          <w:sz w:val="32"/>
          <w:szCs w:val="32"/>
          <w:u w:val="none"/>
        </w:rPr>
        <w:t>（四）推动建筑用能低碳转型。</w:t>
      </w:r>
      <w:r>
        <w:rPr>
          <w:rFonts w:hint="eastAsia" w:ascii="仿宋" w:hAnsi="仿宋" w:eastAsia="仿宋" w:cs="仿宋"/>
          <w:sz w:val="32"/>
          <w:szCs w:val="32"/>
          <w:u w:val="none"/>
        </w:rPr>
        <w:t>各盟市要结合实际统筹规划可再生能源建筑应用，确定时间表、路线图、施工图，严格落实《建筑节能与可再生能源利用通用规范》。因地制宜推进清洁取暖，大力发展热电联产、工业余热集中供暖，支持建筑领域地热能、太阳能供热应用，鼓励有条件的地区有序指导农村牧区发展生物质锅炉供暖。提高建筑电气化水平，推动新建公共建筑全面电气化。</w:t>
      </w:r>
      <w:r>
        <w:rPr>
          <w:rFonts w:hint="eastAsia" w:ascii="楷体" w:hAnsi="楷体" w:eastAsia="楷体" w:cs="楷体"/>
          <w:sz w:val="32"/>
          <w:szCs w:val="32"/>
          <w:u w:val="none"/>
        </w:rPr>
        <w:t>（自治区能源局、住房城乡建设厅、农牧厅、机关事务管理局等按职责分工负责）</w:t>
      </w:r>
    </w:p>
    <w:p>
      <w:pPr>
        <w:keepNext w:val="0"/>
        <w:keepLines w:val="0"/>
        <w:pageBreakBefore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u w:val="none"/>
          <w:lang w:eastAsia="zh-CN"/>
        </w:rPr>
      </w:pPr>
      <w:r>
        <w:rPr>
          <w:rFonts w:hint="eastAsia" w:ascii="楷体" w:hAnsi="楷体" w:eastAsia="楷体" w:cs="楷体"/>
          <w:bCs/>
          <w:sz w:val="32"/>
          <w:szCs w:val="32"/>
          <w:u w:val="none"/>
          <w:lang w:eastAsia="zh-CN"/>
        </w:rPr>
        <w:t>（五）加强</w:t>
      </w:r>
      <w:r>
        <w:rPr>
          <w:rFonts w:hint="eastAsia" w:ascii="楷体" w:hAnsi="楷体" w:eastAsia="楷体" w:cs="楷体"/>
          <w:bCs/>
          <w:sz w:val="32"/>
          <w:szCs w:val="32"/>
          <w:u w:val="none"/>
        </w:rPr>
        <w:t>建筑光伏推广应用</w:t>
      </w:r>
      <w:r>
        <w:rPr>
          <w:rFonts w:hint="eastAsia" w:ascii="楷体" w:hAnsi="楷体" w:eastAsia="楷体" w:cs="楷体"/>
          <w:bCs/>
          <w:sz w:val="32"/>
          <w:szCs w:val="32"/>
          <w:u w:val="none"/>
          <w:lang w:eastAsia="zh-CN"/>
        </w:rPr>
        <w:t>。</w:t>
      </w:r>
      <w:r>
        <w:rPr>
          <w:rFonts w:hint="eastAsia" w:ascii="仿宋" w:hAnsi="仿宋" w:eastAsia="仿宋" w:cs="仿宋"/>
          <w:sz w:val="32"/>
          <w:szCs w:val="32"/>
          <w:u w:val="none"/>
          <w:lang w:eastAsia="zh-CN"/>
        </w:rPr>
        <w:t>自治区各有关部门和各盟市要贯彻落实</w:t>
      </w:r>
      <w:r>
        <w:rPr>
          <w:rFonts w:hint="eastAsia" w:ascii="仿宋" w:hAnsi="仿宋" w:eastAsia="仿宋" w:cs="仿宋"/>
          <w:sz w:val="32"/>
          <w:szCs w:val="32"/>
          <w:u w:val="none"/>
        </w:rPr>
        <w:t>《内蒙古自治区建筑光伏推广应用实施方案》</w:t>
      </w:r>
      <w:r>
        <w:rPr>
          <w:rFonts w:hint="eastAsia" w:ascii="仿宋" w:hAnsi="仿宋" w:eastAsia="仿宋" w:cs="仿宋"/>
          <w:sz w:val="32"/>
          <w:szCs w:val="32"/>
          <w:u w:val="none"/>
          <w:lang w:eastAsia="zh-CN"/>
        </w:rPr>
        <w:t>，</w:t>
      </w:r>
      <w:r>
        <w:rPr>
          <w:rFonts w:hint="eastAsia" w:ascii="仿宋" w:hAnsi="仿宋" w:eastAsia="仿宋" w:cs="仿宋"/>
          <w:sz w:val="32"/>
          <w:szCs w:val="32"/>
          <w:u w:val="none"/>
        </w:rPr>
        <w:t>因地制宜出台有利于建筑光伏发展的机制和政策措施</w:t>
      </w:r>
      <w:r>
        <w:rPr>
          <w:rFonts w:hint="eastAsia" w:ascii="仿宋" w:hAnsi="仿宋" w:eastAsia="仿宋" w:cs="仿宋"/>
          <w:sz w:val="32"/>
          <w:szCs w:val="32"/>
          <w:u w:val="none"/>
          <w:lang w:eastAsia="zh-CN"/>
        </w:rPr>
        <w:t>，加大要素支撑，协同</w:t>
      </w:r>
      <w:r>
        <w:rPr>
          <w:rFonts w:hint="eastAsia" w:ascii="仿宋" w:hAnsi="仿宋" w:eastAsia="仿宋" w:cs="仿宋"/>
          <w:sz w:val="32"/>
          <w:szCs w:val="32"/>
          <w:u w:val="none"/>
        </w:rPr>
        <w:t>推动自治区建筑光伏高质量发展</w:t>
      </w:r>
      <w:r>
        <w:rPr>
          <w:rFonts w:hint="eastAsia" w:ascii="仿宋" w:hAnsi="仿宋" w:eastAsia="仿宋" w:cs="仿宋"/>
          <w:sz w:val="32"/>
          <w:szCs w:val="32"/>
          <w:u w:val="none"/>
          <w:lang w:eastAsia="zh-CN"/>
        </w:rPr>
        <w:t>。</w:t>
      </w:r>
      <w:r>
        <w:rPr>
          <w:rFonts w:hint="eastAsia" w:ascii="仿宋" w:hAnsi="仿宋" w:eastAsia="仿宋" w:cs="仿宋"/>
          <w:sz w:val="32"/>
          <w:szCs w:val="32"/>
          <w:u w:val="none"/>
        </w:rPr>
        <w:t>制定完善建筑光伏一体化建设</w:t>
      </w:r>
      <w:r>
        <w:rPr>
          <w:rFonts w:hint="eastAsia" w:ascii="仿宋" w:hAnsi="仿宋" w:eastAsia="仿宋" w:cs="仿宋"/>
          <w:sz w:val="32"/>
          <w:szCs w:val="32"/>
          <w:u w:val="none"/>
          <w:lang w:eastAsia="zh-CN"/>
        </w:rPr>
        <w:t>地方</w:t>
      </w:r>
      <w:r>
        <w:rPr>
          <w:rFonts w:hint="eastAsia" w:ascii="仿宋" w:hAnsi="仿宋" w:eastAsia="仿宋" w:cs="仿宋"/>
          <w:sz w:val="32"/>
          <w:szCs w:val="32"/>
          <w:u w:val="none"/>
        </w:rPr>
        <w:t>标准和图集，鼓励工业厂房、公共建筑、居住建筑等</w:t>
      </w:r>
      <w:r>
        <w:rPr>
          <w:rFonts w:hint="eastAsia" w:ascii="仿宋" w:hAnsi="仿宋" w:eastAsia="仿宋" w:cs="仿宋"/>
          <w:spacing w:val="6"/>
          <w:sz w:val="32"/>
          <w:szCs w:val="32"/>
          <w:u w:val="none"/>
        </w:rPr>
        <w:t>新建建筑光伏一体化建设申报国家试点。加强建筑光</w:t>
      </w:r>
      <w:r>
        <w:rPr>
          <w:rFonts w:hint="eastAsia" w:ascii="仿宋" w:hAnsi="仿宋" w:eastAsia="仿宋" w:cs="仿宋"/>
          <w:sz w:val="32"/>
          <w:szCs w:val="32"/>
          <w:u w:val="none"/>
        </w:rPr>
        <w:t>伏管理</w:t>
      </w:r>
      <w:r>
        <w:rPr>
          <w:rFonts w:hint="eastAsia" w:ascii="仿宋" w:hAnsi="仿宋" w:eastAsia="仿宋" w:cs="仿宋"/>
          <w:sz w:val="32"/>
          <w:szCs w:val="32"/>
          <w:u w:val="none"/>
          <w:lang w:eastAsia="zh-CN"/>
        </w:rPr>
        <w:t>，</w:t>
      </w:r>
      <w:r>
        <w:rPr>
          <w:rFonts w:hint="eastAsia" w:ascii="仿宋" w:hAnsi="仿宋" w:eastAsia="仿宋" w:cs="仿宋"/>
          <w:sz w:val="32"/>
          <w:szCs w:val="32"/>
          <w:u w:val="none"/>
        </w:rPr>
        <w:t>做好光伏发电消纳</w:t>
      </w:r>
      <w:r>
        <w:rPr>
          <w:rFonts w:hint="eastAsia" w:ascii="仿宋" w:hAnsi="仿宋" w:eastAsia="仿宋" w:cs="仿宋"/>
          <w:sz w:val="32"/>
          <w:szCs w:val="32"/>
          <w:u w:val="none"/>
          <w:lang w:eastAsia="zh-CN"/>
        </w:rPr>
        <w:t>，</w:t>
      </w:r>
      <w:r>
        <w:rPr>
          <w:rFonts w:hint="eastAsia" w:ascii="仿宋" w:hAnsi="仿宋" w:eastAsia="仿宋" w:cs="仿宋"/>
          <w:sz w:val="32"/>
          <w:szCs w:val="32"/>
          <w:u w:val="none"/>
        </w:rPr>
        <w:t>强化运维管理</w:t>
      </w:r>
      <w:r>
        <w:rPr>
          <w:rFonts w:hint="eastAsia" w:ascii="仿宋" w:hAnsi="仿宋" w:eastAsia="仿宋" w:cs="仿宋"/>
          <w:sz w:val="32"/>
          <w:szCs w:val="32"/>
          <w:u w:val="none"/>
          <w:lang w:eastAsia="zh-CN"/>
        </w:rPr>
        <w:t>，</w:t>
      </w:r>
      <w:r>
        <w:rPr>
          <w:rFonts w:hint="eastAsia" w:ascii="仿宋" w:hAnsi="仿宋" w:eastAsia="仿宋" w:cs="仿宋"/>
          <w:sz w:val="32"/>
          <w:szCs w:val="32"/>
          <w:u w:val="none"/>
        </w:rPr>
        <w:t>创新发展模式</w:t>
      </w:r>
      <w:r>
        <w:rPr>
          <w:rFonts w:hint="eastAsia" w:ascii="仿宋" w:hAnsi="仿宋" w:eastAsia="仿宋" w:cs="仿宋"/>
          <w:sz w:val="32"/>
          <w:szCs w:val="32"/>
          <w:u w:val="none"/>
          <w:lang w:eastAsia="zh-CN"/>
        </w:rPr>
        <w:t>，及时</w:t>
      </w:r>
      <w:r>
        <w:rPr>
          <w:rFonts w:hint="eastAsia" w:ascii="仿宋" w:hAnsi="仿宋" w:eastAsia="仿宋" w:cs="仿宋"/>
          <w:sz w:val="32"/>
          <w:szCs w:val="32"/>
          <w:u w:val="none"/>
        </w:rPr>
        <w:t>宣传推广</w:t>
      </w:r>
      <w:r>
        <w:rPr>
          <w:rFonts w:hint="eastAsia" w:ascii="仿宋" w:hAnsi="仿宋" w:eastAsia="仿宋" w:cs="仿宋"/>
          <w:sz w:val="32"/>
          <w:szCs w:val="32"/>
          <w:u w:val="none"/>
          <w:lang w:eastAsia="zh-CN"/>
        </w:rPr>
        <w:t>建筑光伏典型工作经验</w:t>
      </w:r>
      <w:r>
        <w:rPr>
          <w:rFonts w:hint="eastAsia" w:ascii="仿宋" w:hAnsi="仿宋" w:eastAsia="仿宋" w:cs="仿宋"/>
          <w:sz w:val="32"/>
          <w:szCs w:val="32"/>
          <w:u w:val="none"/>
        </w:rPr>
        <w:t>。</w:t>
      </w:r>
      <w:r>
        <w:rPr>
          <w:rFonts w:hint="eastAsia" w:ascii="楷体" w:hAnsi="楷体" w:eastAsia="楷体" w:cs="楷体"/>
          <w:sz w:val="32"/>
          <w:szCs w:val="32"/>
          <w:u w:val="none"/>
          <w:lang w:eastAsia="zh-CN"/>
        </w:rPr>
        <w:t>（自治区</w:t>
      </w:r>
      <w:r>
        <w:rPr>
          <w:rFonts w:hint="eastAsia" w:ascii="楷体" w:hAnsi="楷体" w:eastAsia="楷体" w:cs="楷体"/>
          <w:sz w:val="32"/>
          <w:szCs w:val="32"/>
          <w:u w:val="none"/>
        </w:rPr>
        <w:t>能源局、</w:t>
      </w:r>
      <w:r>
        <w:rPr>
          <w:rFonts w:hint="eastAsia" w:ascii="楷体" w:hAnsi="楷体" w:eastAsia="楷体" w:cs="楷体"/>
          <w:sz w:val="32"/>
          <w:szCs w:val="32"/>
          <w:u w:val="none"/>
          <w:lang w:eastAsia="zh-CN"/>
        </w:rPr>
        <w:t>发展改革委、工业和信息化</w:t>
      </w:r>
      <w:r>
        <w:rPr>
          <w:rFonts w:hint="eastAsia" w:ascii="楷体" w:hAnsi="楷体" w:eastAsia="楷体" w:cs="楷体"/>
          <w:sz w:val="32"/>
          <w:szCs w:val="32"/>
          <w:u w:val="none"/>
        </w:rPr>
        <w:t>厅</w:t>
      </w:r>
      <w:r>
        <w:rPr>
          <w:rFonts w:hint="eastAsia" w:ascii="楷体" w:hAnsi="楷体" w:eastAsia="楷体" w:cs="楷体"/>
          <w:sz w:val="32"/>
          <w:szCs w:val="32"/>
          <w:u w:val="none"/>
          <w:lang w:eastAsia="zh-CN"/>
        </w:rPr>
        <w:t>、自然资源厅、</w:t>
      </w:r>
      <w:r>
        <w:rPr>
          <w:rFonts w:hint="eastAsia" w:ascii="楷体" w:hAnsi="楷体" w:eastAsia="楷体" w:cs="楷体"/>
          <w:sz w:val="32"/>
          <w:szCs w:val="32"/>
          <w:u w:val="none"/>
        </w:rPr>
        <w:t>住房城乡建设厅、机关事务管理局等按职责分工负责</w:t>
      </w:r>
      <w:r>
        <w:rPr>
          <w:rFonts w:hint="eastAsia" w:ascii="楷体" w:hAnsi="楷体" w:eastAsia="楷体" w:cs="楷体"/>
          <w:sz w:val="32"/>
          <w:szCs w:val="32"/>
          <w:u w:val="none"/>
          <w:lang w:eastAsia="zh-CN"/>
        </w:rPr>
        <w:t>）</w:t>
      </w:r>
    </w:p>
    <w:p>
      <w:pPr>
        <w:keepNext w:val="0"/>
        <w:keepLines w:val="0"/>
        <w:pageBreakBefore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u w:val="none"/>
        </w:rPr>
      </w:pPr>
      <w:r>
        <w:rPr>
          <w:rFonts w:hint="eastAsia" w:ascii="楷体" w:hAnsi="楷体" w:eastAsia="楷体" w:cs="楷体"/>
          <w:bCs/>
          <w:sz w:val="32"/>
          <w:szCs w:val="32"/>
          <w:u w:val="none"/>
        </w:rPr>
        <w:t>（</w:t>
      </w:r>
      <w:r>
        <w:rPr>
          <w:rFonts w:hint="eastAsia" w:ascii="楷体" w:hAnsi="楷体" w:eastAsia="楷体" w:cs="楷体"/>
          <w:bCs/>
          <w:sz w:val="32"/>
          <w:szCs w:val="32"/>
          <w:u w:val="none"/>
          <w:lang w:eastAsia="zh-CN"/>
        </w:rPr>
        <w:t>六</w:t>
      </w:r>
      <w:r>
        <w:rPr>
          <w:rFonts w:hint="eastAsia" w:ascii="楷体" w:hAnsi="楷体" w:eastAsia="楷体" w:cs="楷体"/>
          <w:bCs/>
          <w:sz w:val="32"/>
          <w:szCs w:val="32"/>
          <w:u w:val="none"/>
        </w:rPr>
        <w:t>）推进供热计量和按供热量收费。</w:t>
      </w:r>
      <w:r>
        <w:rPr>
          <w:rFonts w:hint="eastAsia" w:ascii="仿宋" w:hAnsi="仿宋" w:eastAsia="仿宋" w:cs="仿宋"/>
          <w:sz w:val="32"/>
          <w:szCs w:val="32"/>
          <w:u w:val="none"/>
        </w:rPr>
        <w:t>呼和浩特</w:t>
      </w:r>
      <w:r>
        <w:rPr>
          <w:rFonts w:hint="eastAsia" w:ascii="仿宋" w:hAnsi="仿宋" w:eastAsia="仿宋" w:cs="仿宋"/>
          <w:spacing w:val="-6"/>
          <w:sz w:val="32"/>
          <w:szCs w:val="32"/>
          <w:u w:val="none"/>
        </w:rPr>
        <w:t>市、包头市</w:t>
      </w:r>
      <w:r>
        <w:rPr>
          <w:rFonts w:hint="eastAsia" w:ascii="仿宋" w:hAnsi="仿宋" w:eastAsia="仿宋" w:cs="仿宋"/>
          <w:spacing w:val="-6"/>
          <w:sz w:val="32"/>
          <w:szCs w:val="32"/>
          <w:u w:val="none"/>
          <w:lang w:bidi="ar"/>
        </w:rPr>
        <w:t>、</w:t>
      </w:r>
      <w:r>
        <w:rPr>
          <w:rFonts w:hint="eastAsia" w:ascii="仿宋" w:hAnsi="仿宋" w:eastAsia="仿宋" w:cs="仿宋"/>
          <w:sz w:val="32"/>
          <w:szCs w:val="32"/>
          <w:u w:val="none"/>
          <w:lang w:bidi="ar"/>
        </w:rPr>
        <w:t>赤峰市</w:t>
      </w:r>
      <w:r>
        <w:rPr>
          <w:rFonts w:hint="eastAsia" w:ascii="仿宋" w:hAnsi="仿宋" w:eastAsia="仿宋" w:cs="仿宋"/>
          <w:sz w:val="32"/>
          <w:szCs w:val="32"/>
          <w:u w:val="none"/>
        </w:rPr>
        <w:t>、鄂尔多斯市、乌</w:t>
      </w:r>
      <w:r>
        <w:rPr>
          <w:rFonts w:hint="eastAsia" w:ascii="仿宋" w:hAnsi="仿宋" w:eastAsia="仿宋" w:cs="仿宋"/>
          <w:sz w:val="32"/>
          <w:szCs w:val="32"/>
          <w:u w:val="none"/>
          <w:lang w:bidi="ar"/>
        </w:rPr>
        <w:t>海市先行试点，分区域示范推动自治区供热计量收费改革，实现供热智能化。各盟市要结合实际制定供热分户计量改造方案，明确量化目标任务和改造时限，逐步推动具备条件的居住建筑和公共建筑按用热量计量收费，户内不具备供热计量改造价值和条件的既有居住建筑可实行按楼栋计量。新竣工建筑应达到供热计量要求。建立科学合理的供热计量收费机制，加快实行基本热价和计量热价相结合的两部制热价。充分利用信息化技术，逐步完善城市供热管理智能化，推动供热企业管理数字化、智能化转型升级。</w:t>
      </w:r>
      <w:r>
        <w:rPr>
          <w:rFonts w:hint="eastAsia" w:ascii="楷体" w:hAnsi="楷体" w:eastAsia="楷体" w:cs="楷体"/>
          <w:sz w:val="32"/>
          <w:szCs w:val="32"/>
          <w:u w:val="none"/>
        </w:rPr>
        <w:t>（自治区发展改革委、财政厅、住房城乡建设厅、市场监管局按职责分工负责）</w:t>
      </w:r>
    </w:p>
    <w:p>
      <w:pPr>
        <w:pStyle w:val="4"/>
        <w:keepNext w:val="0"/>
        <w:keepLines w:val="0"/>
        <w:pageBreakBefore w:val="0"/>
        <w:kinsoku/>
        <w:wordWrap/>
        <w:overflowPunct/>
        <w:topLinePunct/>
        <w:autoSpaceDE/>
        <w:autoSpaceDN/>
        <w:bidi w:val="0"/>
        <w:adjustRightInd/>
        <w:snapToGrid/>
        <w:spacing w:beforeAutospacing="0" w:afterAutospacing="0" w:line="580" w:lineRule="exact"/>
        <w:ind w:firstLine="640" w:firstLineChars="200"/>
        <w:jc w:val="both"/>
        <w:textAlignment w:val="auto"/>
        <w:rPr>
          <w:rFonts w:hint="eastAsia" w:ascii="楷体" w:hAnsi="楷体" w:eastAsia="楷体" w:cs="楷体"/>
          <w:kern w:val="2"/>
          <w:sz w:val="32"/>
          <w:szCs w:val="32"/>
          <w:u w:val="none"/>
        </w:rPr>
      </w:pPr>
      <w:r>
        <w:rPr>
          <w:rFonts w:hint="eastAsia" w:ascii="楷体" w:hAnsi="楷体" w:eastAsia="楷体" w:cs="楷体"/>
          <w:bCs/>
          <w:color w:val="auto"/>
          <w:kern w:val="2"/>
          <w:sz w:val="32"/>
          <w:szCs w:val="32"/>
          <w:u w:val="none"/>
        </w:rPr>
        <w:t>（</w:t>
      </w:r>
      <w:r>
        <w:rPr>
          <w:rFonts w:hint="eastAsia" w:ascii="楷体" w:hAnsi="楷体" w:eastAsia="楷体" w:cs="楷体"/>
          <w:bCs/>
          <w:color w:val="auto"/>
          <w:kern w:val="2"/>
          <w:sz w:val="32"/>
          <w:szCs w:val="32"/>
          <w:u w:val="none"/>
          <w:lang w:eastAsia="zh-CN"/>
        </w:rPr>
        <w:t>七</w:t>
      </w:r>
      <w:r>
        <w:rPr>
          <w:rFonts w:hint="eastAsia" w:ascii="楷体" w:hAnsi="楷体" w:eastAsia="楷体" w:cs="楷体"/>
          <w:bCs/>
          <w:color w:val="auto"/>
          <w:kern w:val="2"/>
          <w:sz w:val="32"/>
          <w:szCs w:val="32"/>
          <w:u w:val="none"/>
        </w:rPr>
        <w:t>）提升农房绿色低碳水平。</w:t>
      </w:r>
      <w:r>
        <w:rPr>
          <w:rFonts w:hint="eastAsia" w:ascii="仿宋" w:hAnsi="仿宋" w:eastAsia="仿宋" w:cs="仿宋"/>
          <w:spacing w:val="-6"/>
          <w:kern w:val="2"/>
          <w:sz w:val="32"/>
          <w:szCs w:val="32"/>
          <w:u w:val="none"/>
        </w:rPr>
        <w:t>坚持农牧民自愿、因地制宜、</w:t>
      </w:r>
      <w:r>
        <w:rPr>
          <w:rFonts w:hint="eastAsia" w:ascii="仿宋" w:hAnsi="仿宋" w:eastAsia="仿宋" w:cs="仿宋"/>
          <w:kern w:val="2"/>
          <w:sz w:val="32"/>
          <w:szCs w:val="32"/>
          <w:u w:val="none"/>
        </w:rPr>
        <w:t>一户一策原则，推进绿色低碳农房建设。鼓励应用《</w:t>
      </w:r>
      <w:r>
        <w:rPr>
          <w:rFonts w:hint="eastAsia" w:ascii="仿宋" w:hAnsi="仿宋" w:eastAsia="仿宋" w:cs="仿宋"/>
          <w:kern w:val="2"/>
          <w:sz w:val="32"/>
          <w:szCs w:val="32"/>
          <w:u w:val="none"/>
          <w:lang w:eastAsia="zh-CN"/>
        </w:rPr>
        <w:t>内蒙古</w:t>
      </w:r>
      <w:r>
        <w:rPr>
          <w:rFonts w:hint="eastAsia" w:ascii="仿宋" w:hAnsi="仿宋" w:eastAsia="仿宋" w:cs="仿宋"/>
          <w:kern w:val="2"/>
          <w:sz w:val="32"/>
          <w:szCs w:val="32"/>
          <w:u w:val="none"/>
        </w:rPr>
        <w:t>自治区农村牧区居住建筑节能设计标准》</w:t>
      </w:r>
      <w:r>
        <w:rPr>
          <w:rFonts w:hint="eastAsia" w:ascii="仿宋" w:hAnsi="仿宋" w:eastAsia="仿宋" w:cs="仿宋"/>
          <w:kern w:val="2"/>
          <w:sz w:val="32"/>
          <w:szCs w:val="32"/>
          <w:u w:val="none"/>
          <w:lang w:eastAsia="zh-CN"/>
        </w:rPr>
        <w:t>、</w:t>
      </w:r>
      <w:r>
        <w:rPr>
          <w:rFonts w:hint="eastAsia" w:ascii="仿宋" w:hAnsi="仿宋" w:eastAsia="仿宋" w:cs="仿宋"/>
          <w:kern w:val="2"/>
          <w:sz w:val="32"/>
          <w:szCs w:val="32"/>
          <w:u w:val="none"/>
        </w:rPr>
        <w:t>《</w:t>
      </w:r>
      <w:r>
        <w:rPr>
          <w:rFonts w:hint="eastAsia" w:ascii="仿宋" w:hAnsi="仿宋" w:eastAsia="仿宋" w:cs="仿宋"/>
          <w:kern w:val="2"/>
          <w:sz w:val="32"/>
          <w:szCs w:val="32"/>
          <w:u w:val="none"/>
          <w:lang w:eastAsia="zh-CN"/>
        </w:rPr>
        <w:t>内蒙古</w:t>
      </w:r>
      <w:r>
        <w:rPr>
          <w:rFonts w:hint="eastAsia" w:ascii="仿宋" w:hAnsi="仿宋" w:eastAsia="仿宋" w:cs="仿宋"/>
          <w:kern w:val="2"/>
          <w:sz w:val="32"/>
          <w:szCs w:val="32"/>
          <w:u w:val="none"/>
        </w:rPr>
        <w:t>自治区新型农村牧区住宅庭院设计图集》，完善农房节能措施，提高农房自然通风、采光和保温性能，减少农房能源消耗并提升舒适度。有序开展既有农房节能改造，鼓励对房屋墙体、门窗、屋面、地面等进行菜单式</w:t>
      </w:r>
      <w:r>
        <w:rPr>
          <w:rFonts w:hint="eastAsia" w:ascii="仿宋" w:hAnsi="仿宋" w:eastAsia="仿宋" w:cs="仿宋"/>
          <w:spacing w:val="6"/>
          <w:kern w:val="2"/>
          <w:sz w:val="32"/>
          <w:szCs w:val="32"/>
          <w:u w:val="none"/>
        </w:rPr>
        <w:t>微改造。积极开展绿色建材下乡活动，推广使用</w:t>
      </w:r>
      <w:r>
        <w:rPr>
          <w:rFonts w:hint="eastAsia" w:ascii="仿宋" w:hAnsi="仿宋" w:eastAsia="仿宋" w:cs="仿宋"/>
          <w:kern w:val="2"/>
          <w:sz w:val="32"/>
          <w:szCs w:val="32"/>
          <w:u w:val="none"/>
        </w:rPr>
        <w:t>高效照明、灶具、节能器具等设施设备。推进农村</w:t>
      </w:r>
      <w:r>
        <w:rPr>
          <w:rFonts w:hint="eastAsia" w:ascii="仿宋" w:hAnsi="仿宋" w:eastAsia="仿宋" w:cs="仿宋"/>
          <w:kern w:val="2"/>
          <w:sz w:val="32"/>
          <w:szCs w:val="32"/>
          <w:u w:val="none"/>
          <w:lang w:eastAsia="zh-CN"/>
        </w:rPr>
        <w:t>牧区</w:t>
      </w:r>
      <w:r>
        <w:rPr>
          <w:rFonts w:hint="eastAsia" w:ascii="仿宋" w:hAnsi="仿宋" w:eastAsia="仿宋" w:cs="仿宋"/>
          <w:kern w:val="2"/>
          <w:sz w:val="32"/>
          <w:szCs w:val="32"/>
          <w:u w:val="none"/>
        </w:rPr>
        <w:t>清洁取暖，鼓励因地制宜使用电力、天然气和太阳能、地热能、空气热能、生物质能等可再生能源，鼓励农</w:t>
      </w:r>
      <w:r>
        <w:rPr>
          <w:rFonts w:hint="eastAsia" w:ascii="仿宋" w:hAnsi="仿宋" w:eastAsia="仿宋" w:cs="仿宋"/>
          <w:kern w:val="2"/>
          <w:sz w:val="32"/>
          <w:szCs w:val="32"/>
          <w:u w:val="none"/>
          <w:lang w:eastAsia="zh-CN"/>
        </w:rPr>
        <w:t>牧</w:t>
      </w:r>
      <w:r>
        <w:rPr>
          <w:rFonts w:hint="eastAsia" w:ascii="仿宋" w:hAnsi="仿宋" w:eastAsia="仿宋" w:cs="仿宋"/>
          <w:kern w:val="2"/>
          <w:sz w:val="32"/>
          <w:szCs w:val="32"/>
          <w:u w:val="none"/>
        </w:rPr>
        <w:t>户加装光伏发电系统，减少煤炭燃烧使用。</w:t>
      </w:r>
      <w:r>
        <w:rPr>
          <w:rFonts w:hint="eastAsia" w:ascii="楷体" w:hAnsi="楷体" w:eastAsia="楷体" w:cs="楷体"/>
          <w:kern w:val="2"/>
          <w:sz w:val="32"/>
          <w:szCs w:val="32"/>
          <w:u w:val="none"/>
        </w:rPr>
        <w:t>（自治区能源局、住房城乡建设厅、工</w:t>
      </w:r>
      <w:r>
        <w:rPr>
          <w:rFonts w:hint="eastAsia" w:ascii="楷体" w:hAnsi="楷体" w:eastAsia="楷体" w:cs="楷体"/>
          <w:kern w:val="2"/>
          <w:sz w:val="32"/>
          <w:szCs w:val="32"/>
          <w:u w:val="none"/>
          <w:lang w:eastAsia="zh-CN"/>
        </w:rPr>
        <w:t>业和信息化</w:t>
      </w:r>
      <w:r>
        <w:rPr>
          <w:rFonts w:hint="eastAsia" w:ascii="楷体" w:hAnsi="楷体" w:eastAsia="楷体" w:cs="楷体"/>
          <w:kern w:val="2"/>
          <w:sz w:val="32"/>
          <w:szCs w:val="32"/>
          <w:u w:val="none"/>
        </w:rPr>
        <w:t>厅、生态环境厅、农牧厅按职责分工负责）</w:t>
      </w:r>
    </w:p>
    <w:p>
      <w:pPr>
        <w:keepNext w:val="0"/>
        <w:keepLines w:val="0"/>
        <w:pageBreakBefore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color w:val="auto"/>
          <w:sz w:val="32"/>
          <w:szCs w:val="32"/>
          <w:u w:val="none"/>
        </w:rPr>
      </w:pPr>
      <w:r>
        <w:rPr>
          <w:rFonts w:hint="eastAsia" w:ascii="楷体" w:hAnsi="楷体" w:eastAsia="楷体" w:cs="楷体"/>
          <w:bCs/>
          <w:sz w:val="32"/>
          <w:szCs w:val="32"/>
          <w:u w:val="none"/>
        </w:rPr>
        <w:t>（</w:t>
      </w:r>
      <w:r>
        <w:rPr>
          <w:rFonts w:hint="eastAsia" w:ascii="楷体" w:hAnsi="楷体" w:eastAsia="楷体" w:cs="楷体"/>
          <w:bCs/>
          <w:sz w:val="32"/>
          <w:szCs w:val="32"/>
          <w:u w:val="none"/>
          <w:lang w:eastAsia="zh-CN"/>
        </w:rPr>
        <w:t>八</w:t>
      </w:r>
      <w:r>
        <w:rPr>
          <w:rFonts w:hint="eastAsia" w:ascii="楷体" w:hAnsi="楷体" w:eastAsia="楷体" w:cs="楷体"/>
          <w:bCs/>
          <w:sz w:val="32"/>
          <w:szCs w:val="32"/>
          <w:u w:val="none"/>
        </w:rPr>
        <w:t>）推进绿色低碳建造。</w:t>
      </w:r>
      <w:r>
        <w:rPr>
          <w:rFonts w:hint="eastAsia" w:ascii="仿宋" w:hAnsi="仿宋" w:eastAsia="仿宋" w:cs="仿宋"/>
          <w:sz w:val="32"/>
          <w:szCs w:val="32"/>
          <w:u w:val="none"/>
          <w:lang w:bidi="ar"/>
        </w:rPr>
        <w:t>加快发展装配式建筑，提高预制构件和部品部件通用性，推广标准化、少规格、多组合设计，到2025年，全区装配式建筑占新建建筑面积比例力争达到30%左右，其中</w:t>
      </w:r>
      <w:r>
        <w:rPr>
          <w:rFonts w:hint="eastAsia" w:ascii="仿宋" w:hAnsi="仿宋" w:eastAsia="仿宋" w:cs="仿宋"/>
          <w:sz w:val="32"/>
          <w:szCs w:val="32"/>
          <w:u w:val="none"/>
          <w:lang w:eastAsia="zh-CN" w:bidi="ar"/>
        </w:rPr>
        <w:t>，</w:t>
      </w:r>
      <w:r>
        <w:rPr>
          <w:rFonts w:hint="eastAsia" w:ascii="仿宋" w:hAnsi="仿宋" w:eastAsia="仿宋" w:cs="仿宋"/>
          <w:sz w:val="32"/>
          <w:szCs w:val="32"/>
          <w:u w:val="none"/>
          <w:lang w:bidi="ar"/>
        </w:rPr>
        <w:t>呼和浩特</w:t>
      </w:r>
      <w:r>
        <w:rPr>
          <w:rFonts w:hint="eastAsia" w:ascii="仿宋" w:hAnsi="仿宋" w:eastAsia="仿宋" w:cs="仿宋"/>
          <w:sz w:val="32"/>
          <w:szCs w:val="32"/>
          <w:u w:val="none"/>
          <w:lang w:eastAsia="zh-CN" w:bidi="ar"/>
        </w:rPr>
        <w:t>市</w:t>
      </w:r>
      <w:r>
        <w:rPr>
          <w:rFonts w:hint="eastAsia" w:ascii="仿宋" w:hAnsi="仿宋" w:eastAsia="仿宋" w:cs="仿宋"/>
          <w:sz w:val="32"/>
          <w:szCs w:val="32"/>
          <w:u w:val="none"/>
          <w:lang w:bidi="ar"/>
        </w:rPr>
        <w:t>、包头</w:t>
      </w:r>
      <w:r>
        <w:rPr>
          <w:rFonts w:hint="eastAsia" w:ascii="仿宋" w:hAnsi="仿宋" w:eastAsia="仿宋" w:cs="仿宋"/>
          <w:sz w:val="32"/>
          <w:szCs w:val="32"/>
          <w:u w:val="none"/>
          <w:lang w:eastAsia="zh-CN" w:bidi="ar"/>
        </w:rPr>
        <w:t>市</w:t>
      </w:r>
      <w:r>
        <w:rPr>
          <w:rFonts w:hint="eastAsia" w:ascii="仿宋" w:hAnsi="仿宋" w:eastAsia="仿宋" w:cs="仿宋"/>
          <w:sz w:val="32"/>
          <w:szCs w:val="32"/>
          <w:u w:val="none"/>
          <w:lang w:bidi="ar"/>
        </w:rPr>
        <w:t>主城区达到40%左右。严格建筑施工安全管理，确保建筑工程质量安全。积极推广装配化装修，加快建设绿色低碳住宅。指导包头市、鄂尔多斯市和赤峰高新技术产业开</w:t>
      </w:r>
      <w:r>
        <w:rPr>
          <w:rFonts w:hint="eastAsia" w:ascii="仿宋" w:hAnsi="仿宋" w:eastAsia="仿宋" w:cs="仿宋"/>
          <w:spacing w:val="6"/>
          <w:sz w:val="32"/>
          <w:szCs w:val="32"/>
          <w:u w:val="none"/>
          <w:lang w:bidi="ar"/>
        </w:rPr>
        <w:t>发区开展好国家碳达峰试点建设。发挥政府采购引领</w:t>
      </w:r>
      <w:r>
        <w:rPr>
          <w:rFonts w:hint="eastAsia" w:ascii="仿宋" w:hAnsi="仿宋" w:eastAsia="仿宋" w:cs="仿宋"/>
          <w:sz w:val="32"/>
          <w:szCs w:val="32"/>
          <w:u w:val="none"/>
          <w:lang w:bidi="ar"/>
        </w:rPr>
        <w:t>作用，探索政府采购支持绿色建材推广应用，积极推进政府采购电子卖场绿色建材特色馆的开发建设运营。呼和浩特市、鄂尔多斯市作为国家政府采购支持绿色建材促进建筑品质提升城市，纳入政策实施范围的政府采购工程</w:t>
      </w:r>
      <w:r>
        <w:rPr>
          <w:rFonts w:hint="eastAsia" w:ascii="仿宋" w:hAnsi="仿宋" w:eastAsia="仿宋" w:cs="仿宋"/>
          <w:color w:val="auto"/>
          <w:sz w:val="32"/>
          <w:szCs w:val="32"/>
          <w:u w:val="none"/>
          <w:lang w:bidi="ar"/>
        </w:rPr>
        <w:t>，应当采购符合绿色建筑和绿色建材政府采购需求标准的绿色建材。加快推进绿色建材产品认证和应用推广，引导建材生产企业开展绿色建材认证，扩大绿色建材获证企业数量和产品，不断完善绿色建材采信应用数据库。持续开展绿色建材下乡活动。推广节能型施工设备，统筹做好施工临时设施与永久设施综合利用。规范施工现场管理，推进建筑垃圾分类处理和资源化利用。</w:t>
      </w:r>
      <w:r>
        <w:rPr>
          <w:rFonts w:hint="eastAsia" w:ascii="楷体" w:hAnsi="楷体" w:eastAsia="楷体" w:cs="楷体"/>
          <w:color w:val="auto"/>
          <w:sz w:val="32"/>
          <w:szCs w:val="32"/>
          <w:u w:val="none"/>
        </w:rPr>
        <w:t>（自治区住房城乡建设厅、发展改革委、工</w:t>
      </w:r>
      <w:r>
        <w:rPr>
          <w:rFonts w:hint="eastAsia" w:ascii="楷体" w:hAnsi="楷体" w:eastAsia="楷体" w:cs="楷体"/>
          <w:color w:val="auto"/>
          <w:sz w:val="32"/>
          <w:szCs w:val="32"/>
          <w:u w:val="none"/>
          <w:lang w:eastAsia="zh-CN"/>
        </w:rPr>
        <w:t>业和信息化</w:t>
      </w:r>
      <w:r>
        <w:rPr>
          <w:rFonts w:hint="eastAsia" w:ascii="楷体" w:hAnsi="楷体" w:eastAsia="楷体" w:cs="楷体"/>
          <w:color w:val="auto"/>
          <w:sz w:val="32"/>
          <w:szCs w:val="32"/>
          <w:u w:val="none"/>
        </w:rPr>
        <w:t>厅、财政厅、市场监管局按职责分工负责）</w:t>
      </w:r>
    </w:p>
    <w:p>
      <w:pPr>
        <w:keepNext w:val="0"/>
        <w:keepLines w:val="0"/>
        <w:pageBreakBefore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u w:val="none"/>
        </w:rPr>
      </w:pPr>
      <w:r>
        <w:rPr>
          <w:rFonts w:hint="eastAsia" w:ascii="楷体" w:hAnsi="楷体" w:eastAsia="楷体" w:cs="楷体"/>
          <w:bCs/>
          <w:color w:val="auto"/>
          <w:sz w:val="32"/>
          <w:szCs w:val="32"/>
          <w:u w:val="none"/>
        </w:rPr>
        <w:t>（</w:t>
      </w:r>
      <w:r>
        <w:rPr>
          <w:rFonts w:hint="eastAsia" w:ascii="楷体" w:hAnsi="楷体" w:eastAsia="楷体" w:cs="楷体"/>
          <w:bCs/>
          <w:color w:val="auto"/>
          <w:sz w:val="32"/>
          <w:szCs w:val="32"/>
          <w:u w:val="none"/>
          <w:lang w:eastAsia="zh-CN"/>
        </w:rPr>
        <w:t>九</w:t>
      </w:r>
      <w:r>
        <w:rPr>
          <w:rFonts w:hint="eastAsia" w:ascii="楷体" w:hAnsi="楷体" w:eastAsia="楷体" w:cs="楷体"/>
          <w:bCs/>
          <w:color w:val="auto"/>
          <w:sz w:val="32"/>
          <w:szCs w:val="32"/>
          <w:u w:val="none"/>
        </w:rPr>
        <w:t>）严格建筑拆除管理。</w:t>
      </w:r>
      <w:r>
        <w:rPr>
          <w:rFonts w:hint="eastAsia" w:ascii="仿宋" w:hAnsi="仿宋" w:eastAsia="仿宋" w:cs="仿宋"/>
          <w:color w:val="auto"/>
          <w:sz w:val="32"/>
          <w:szCs w:val="32"/>
          <w:u w:val="none"/>
        </w:rPr>
        <w:t>推进城市有机更新，坚持“留改拆”并举，加强老旧建筑修缮改造和保留利用。对各地</w:t>
      </w:r>
      <w:r>
        <w:rPr>
          <w:rFonts w:hint="eastAsia" w:ascii="仿宋" w:hAnsi="仿宋" w:eastAsia="仿宋" w:cs="仿宋"/>
          <w:color w:val="auto"/>
          <w:sz w:val="32"/>
          <w:szCs w:val="32"/>
          <w:u w:val="none"/>
          <w:lang w:eastAsia="zh-CN"/>
        </w:rPr>
        <w:t>区</w:t>
      </w:r>
      <w:r>
        <w:rPr>
          <w:rFonts w:hint="eastAsia" w:ascii="仿宋" w:hAnsi="仿宋" w:eastAsia="仿宋" w:cs="仿宋"/>
          <w:color w:val="auto"/>
          <w:sz w:val="32"/>
          <w:szCs w:val="32"/>
          <w:u w:val="none"/>
        </w:rPr>
        <w:t>建筑拆除情况加强监督管理。建设单位应按照规定委托具有相应资质的拆除工程承包单位实施建筑物拆除工程，建筑废弃物可以再利用的，应当循环利用；不能再利用的，应当按规定进行无害化处</w:t>
      </w:r>
      <w:r>
        <w:rPr>
          <w:rFonts w:hint="eastAsia" w:ascii="仿宋" w:hAnsi="仿宋" w:eastAsia="仿宋" w:cs="仿宋"/>
          <w:sz w:val="32"/>
          <w:szCs w:val="32"/>
          <w:u w:val="none"/>
        </w:rPr>
        <w:t>置。各地区要把握建设时序，坚决杜绝大拆大建造成能源资源浪费。</w:t>
      </w:r>
      <w:r>
        <w:rPr>
          <w:rFonts w:hint="eastAsia" w:ascii="楷体" w:hAnsi="楷体" w:eastAsia="楷体" w:cs="楷体"/>
          <w:sz w:val="32"/>
          <w:szCs w:val="32"/>
          <w:u w:val="none"/>
        </w:rPr>
        <w:t>（自治区住房城乡建设厅、发展改革委、自然资源厅按职责分工负责）</w:t>
      </w:r>
    </w:p>
    <w:p>
      <w:pPr>
        <w:pStyle w:val="4"/>
        <w:keepNext w:val="0"/>
        <w:keepLines w:val="0"/>
        <w:pageBreakBefore w:val="0"/>
        <w:kinsoku/>
        <w:wordWrap/>
        <w:overflowPunct/>
        <w:topLinePunct/>
        <w:autoSpaceDE/>
        <w:autoSpaceDN/>
        <w:bidi w:val="0"/>
        <w:adjustRightInd/>
        <w:snapToGrid/>
        <w:spacing w:beforeAutospacing="0" w:afterAutospacing="0" w:line="580" w:lineRule="exact"/>
        <w:ind w:firstLine="640" w:firstLineChars="200"/>
        <w:jc w:val="both"/>
        <w:textAlignment w:val="auto"/>
        <w:rPr>
          <w:rFonts w:hint="eastAsia" w:ascii="楷体" w:hAnsi="楷体" w:eastAsia="楷体" w:cs="楷体"/>
          <w:kern w:val="2"/>
          <w:sz w:val="32"/>
          <w:szCs w:val="32"/>
          <w:u w:val="none"/>
        </w:rPr>
      </w:pPr>
      <w:r>
        <w:rPr>
          <w:rFonts w:hint="eastAsia" w:ascii="楷体" w:hAnsi="楷体" w:eastAsia="楷体" w:cs="楷体"/>
          <w:bCs/>
          <w:kern w:val="2"/>
          <w:sz w:val="32"/>
          <w:szCs w:val="32"/>
          <w:u w:val="none"/>
        </w:rPr>
        <w:t>（</w:t>
      </w:r>
      <w:r>
        <w:rPr>
          <w:rFonts w:hint="eastAsia" w:ascii="楷体" w:hAnsi="楷体" w:eastAsia="楷体" w:cs="楷体"/>
          <w:bCs/>
          <w:kern w:val="2"/>
          <w:sz w:val="32"/>
          <w:szCs w:val="32"/>
          <w:u w:val="none"/>
          <w:lang w:eastAsia="zh-CN"/>
        </w:rPr>
        <w:t>十</w:t>
      </w:r>
      <w:r>
        <w:rPr>
          <w:rFonts w:hint="eastAsia" w:ascii="楷体" w:hAnsi="楷体" w:eastAsia="楷体" w:cs="楷体"/>
          <w:bCs/>
          <w:kern w:val="2"/>
          <w:sz w:val="32"/>
          <w:szCs w:val="32"/>
          <w:u w:val="none"/>
        </w:rPr>
        <w:t>）加快节能降碳先进技术研发推广</w:t>
      </w:r>
      <w:r>
        <w:rPr>
          <w:rFonts w:hint="eastAsia" w:ascii="楷体" w:hAnsi="楷体" w:eastAsia="楷体" w:cs="楷体"/>
          <w:bCs/>
          <w:spacing w:val="-6"/>
          <w:kern w:val="2"/>
          <w:sz w:val="32"/>
          <w:szCs w:val="32"/>
          <w:u w:val="none"/>
        </w:rPr>
        <w:t>。</w:t>
      </w:r>
      <w:r>
        <w:rPr>
          <w:rFonts w:hint="eastAsia" w:ascii="仿宋" w:hAnsi="仿宋" w:eastAsia="仿宋" w:cs="仿宋"/>
          <w:spacing w:val="-6"/>
          <w:kern w:val="2"/>
          <w:sz w:val="32"/>
          <w:szCs w:val="32"/>
          <w:u w:val="none"/>
        </w:rPr>
        <w:t>聚</w:t>
      </w:r>
      <w:r>
        <w:rPr>
          <w:rFonts w:hint="eastAsia" w:ascii="仿宋" w:hAnsi="仿宋" w:eastAsia="仿宋" w:cs="仿宋"/>
          <w:spacing w:val="-6"/>
          <w:kern w:val="2"/>
          <w:sz w:val="32"/>
          <w:szCs w:val="32"/>
          <w:u w:val="none"/>
          <w:lang w:eastAsia="zh-CN"/>
        </w:rPr>
        <w:t>焦</w:t>
      </w:r>
      <w:r>
        <w:rPr>
          <w:rFonts w:hint="eastAsia" w:ascii="仿宋" w:hAnsi="仿宋" w:eastAsia="仿宋" w:cs="仿宋"/>
          <w:spacing w:val="-6"/>
          <w:kern w:val="2"/>
          <w:sz w:val="32"/>
          <w:szCs w:val="32"/>
          <w:u w:val="none"/>
        </w:rPr>
        <w:t>绿色低碳建筑、</w:t>
      </w:r>
      <w:r>
        <w:rPr>
          <w:rFonts w:hint="eastAsia" w:ascii="仿宋" w:hAnsi="仿宋" w:eastAsia="仿宋" w:cs="仿宋"/>
          <w:kern w:val="2"/>
          <w:sz w:val="32"/>
          <w:szCs w:val="32"/>
          <w:u w:val="none"/>
        </w:rPr>
        <w:t>绿色建材等领域，组织实施一批自治区科技计划项目，解决产业关键技术难题，促进新产品、新技术迭代更新，推动低碳、零碳等技术在建筑领域的广泛应用。依托自治区高等院校、科技型企业、重点实验室等科技创新平台，开展适合自治区气候特点的绿色低碳建筑关键技术攻关，培育产业技术创新联盟，</w:t>
      </w:r>
      <w:r>
        <w:rPr>
          <w:rFonts w:hint="eastAsia" w:ascii="仿宋" w:hAnsi="仿宋" w:eastAsia="仿宋" w:cs="仿宋"/>
          <w:color w:val="auto"/>
          <w:kern w:val="2"/>
          <w:sz w:val="32"/>
          <w:szCs w:val="32"/>
          <w:u w:val="none"/>
        </w:rPr>
        <w:t>研发适</w:t>
      </w:r>
      <w:r>
        <w:rPr>
          <w:rFonts w:hint="eastAsia" w:ascii="仿宋" w:hAnsi="仿宋" w:eastAsia="仿宋" w:cs="仿宋"/>
          <w:color w:val="auto"/>
          <w:kern w:val="2"/>
          <w:sz w:val="32"/>
          <w:szCs w:val="32"/>
          <w:u w:val="none"/>
          <w:lang w:eastAsia="zh-CN"/>
        </w:rPr>
        <w:t>合</w:t>
      </w:r>
      <w:r>
        <w:rPr>
          <w:rFonts w:hint="eastAsia" w:ascii="仿宋" w:hAnsi="仿宋" w:eastAsia="仿宋" w:cs="仿宋"/>
          <w:color w:val="auto"/>
          <w:kern w:val="2"/>
          <w:sz w:val="32"/>
          <w:szCs w:val="32"/>
          <w:u w:val="none"/>
        </w:rPr>
        <w:t>严寒、寒冷地区需求的超低能耗建筑新技术、新材料、新设备和绿色能源应用。</w:t>
      </w:r>
      <w:r>
        <w:rPr>
          <w:rFonts w:hint="eastAsia" w:ascii="仿宋" w:hAnsi="仿宋" w:eastAsia="仿宋" w:cs="仿宋"/>
          <w:kern w:val="2"/>
          <w:sz w:val="32"/>
          <w:szCs w:val="32"/>
          <w:u w:val="none"/>
        </w:rPr>
        <w:t>推动建筑领域能源管理体系认证，及时梳理建筑领域先进适用节能降碳技术应用典型案例。支持建筑节能降碳成熟技术产品规模化生产。结合自治区人才战略计划，培育、引入建筑科技人才。加大基础设施规划、建设等方面专业技术管理人才以及新基建等领域技术人才的培养力度。支持有条件的区属国有企业建设建筑节能降碳技术研发和培训平台，加强从业人员工程实践培训。</w:t>
      </w:r>
      <w:r>
        <w:rPr>
          <w:rFonts w:hint="eastAsia" w:ascii="楷体" w:hAnsi="楷体" w:eastAsia="楷体" w:cs="楷体"/>
          <w:kern w:val="2"/>
          <w:sz w:val="32"/>
          <w:szCs w:val="32"/>
          <w:u w:val="none"/>
        </w:rPr>
        <w:t>（自治区科技厅、教育厅、工</w:t>
      </w:r>
      <w:r>
        <w:rPr>
          <w:rFonts w:hint="eastAsia" w:ascii="楷体" w:hAnsi="楷体" w:eastAsia="楷体" w:cs="楷体"/>
          <w:kern w:val="2"/>
          <w:sz w:val="32"/>
          <w:szCs w:val="32"/>
          <w:u w:val="none"/>
          <w:lang w:eastAsia="zh-CN"/>
        </w:rPr>
        <w:t>业和信息化</w:t>
      </w:r>
      <w:r>
        <w:rPr>
          <w:rFonts w:hint="eastAsia" w:ascii="楷体" w:hAnsi="楷体" w:eastAsia="楷体" w:cs="楷体"/>
          <w:kern w:val="2"/>
          <w:sz w:val="32"/>
          <w:szCs w:val="32"/>
          <w:u w:val="none"/>
        </w:rPr>
        <w:t>厅、人</w:t>
      </w:r>
      <w:r>
        <w:rPr>
          <w:rFonts w:hint="eastAsia" w:ascii="楷体" w:hAnsi="楷体" w:eastAsia="楷体" w:cs="楷体"/>
          <w:kern w:val="2"/>
          <w:sz w:val="32"/>
          <w:szCs w:val="32"/>
          <w:u w:val="none"/>
          <w:lang w:eastAsia="zh-CN"/>
        </w:rPr>
        <w:t>力资源社会保障</w:t>
      </w:r>
      <w:r>
        <w:rPr>
          <w:rFonts w:hint="eastAsia" w:ascii="楷体" w:hAnsi="楷体" w:eastAsia="楷体" w:cs="楷体"/>
          <w:kern w:val="2"/>
          <w:sz w:val="32"/>
          <w:szCs w:val="32"/>
          <w:u w:val="none"/>
        </w:rPr>
        <w:t>厅、住房城乡建设厅按职责分工负责）</w:t>
      </w:r>
    </w:p>
    <w:p>
      <w:pPr>
        <w:pStyle w:val="4"/>
        <w:keepNext w:val="0"/>
        <w:keepLines w:val="0"/>
        <w:pageBreakBefore w:val="0"/>
        <w:kinsoku/>
        <w:wordWrap/>
        <w:overflowPunct/>
        <w:topLinePunct/>
        <w:autoSpaceDE/>
        <w:autoSpaceDN/>
        <w:bidi w:val="0"/>
        <w:adjustRightInd/>
        <w:snapToGrid/>
        <w:spacing w:beforeAutospacing="0" w:afterAutospacing="0" w:line="580" w:lineRule="exact"/>
        <w:ind w:firstLine="640" w:firstLineChars="200"/>
        <w:jc w:val="both"/>
        <w:textAlignment w:val="auto"/>
        <w:rPr>
          <w:rFonts w:hint="eastAsia" w:ascii="楷体" w:hAnsi="楷体" w:eastAsia="楷体" w:cs="楷体"/>
          <w:kern w:val="2"/>
          <w:sz w:val="32"/>
          <w:szCs w:val="32"/>
          <w:u w:val="none"/>
        </w:rPr>
      </w:pPr>
      <w:r>
        <w:rPr>
          <w:rFonts w:hint="eastAsia" w:ascii="楷体" w:hAnsi="楷体" w:eastAsia="楷体" w:cs="楷体"/>
          <w:bCs/>
          <w:kern w:val="2"/>
          <w:sz w:val="32"/>
          <w:szCs w:val="32"/>
          <w:u w:val="none"/>
        </w:rPr>
        <w:t>（十</w:t>
      </w:r>
      <w:r>
        <w:rPr>
          <w:rFonts w:hint="eastAsia" w:ascii="楷体" w:hAnsi="楷体" w:eastAsia="楷体" w:cs="楷体"/>
          <w:bCs/>
          <w:kern w:val="2"/>
          <w:sz w:val="32"/>
          <w:szCs w:val="32"/>
          <w:u w:val="none"/>
          <w:lang w:eastAsia="zh-CN"/>
        </w:rPr>
        <w:t>一</w:t>
      </w:r>
      <w:r>
        <w:rPr>
          <w:rFonts w:hint="eastAsia" w:ascii="楷体" w:hAnsi="楷体" w:eastAsia="楷体" w:cs="楷体"/>
          <w:bCs/>
          <w:kern w:val="2"/>
          <w:sz w:val="32"/>
          <w:szCs w:val="32"/>
          <w:u w:val="none"/>
        </w:rPr>
        <w:t>）落实建筑领域能耗碳排放统计核算制度。</w:t>
      </w:r>
      <w:r>
        <w:rPr>
          <w:rFonts w:hint="eastAsia" w:ascii="仿宋" w:hAnsi="仿宋" w:eastAsia="仿宋" w:cs="仿宋"/>
          <w:kern w:val="2"/>
          <w:sz w:val="32"/>
          <w:szCs w:val="32"/>
          <w:u w:val="none"/>
        </w:rPr>
        <w:t>贯彻落实国家关于建筑领域能源消费统计制度和指标体系，加强能源、电力、统计等部门关于建筑用能数据协作。加快建立自治区建筑行业碳排放核算方法体系，组织编制《既有建筑节能改造碳排放计算标准》</w:t>
      </w:r>
      <w:r>
        <w:rPr>
          <w:rFonts w:hint="eastAsia" w:ascii="仿宋" w:hAnsi="仿宋" w:eastAsia="仿宋" w:cs="仿宋"/>
          <w:kern w:val="2"/>
          <w:sz w:val="32"/>
          <w:szCs w:val="32"/>
          <w:u w:val="none"/>
          <w:lang w:eastAsia="zh-CN"/>
        </w:rPr>
        <w:t>、</w:t>
      </w:r>
      <w:r>
        <w:rPr>
          <w:rFonts w:hint="eastAsia" w:ascii="仿宋" w:hAnsi="仿宋" w:eastAsia="仿宋" w:cs="仿宋"/>
          <w:kern w:val="2"/>
          <w:sz w:val="32"/>
          <w:szCs w:val="32"/>
          <w:u w:val="none"/>
        </w:rPr>
        <w:t>《装配式建筑碳排放计算标准》</w:t>
      </w:r>
      <w:r>
        <w:rPr>
          <w:rFonts w:hint="eastAsia" w:ascii="仿宋" w:hAnsi="仿宋" w:eastAsia="仿宋" w:cs="仿宋"/>
          <w:kern w:val="2"/>
          <w:sz w:val="32"/>
          <w:szCs w:val="32"/>
          <w:u w:val="none"/>
          <w:lang w:eastAsia="zh-CN"/>
        </w:rPr>
        <w:t>、</w:t>
      </w:r>
      <w:r>
        <w:rPr>
          <w:rFonts w:hint="eastAsia" w:ascii="仿宋" w:hAnsi="仿宋" w:eastAsia="仿宋" w:cs="仿宋"/>
          <w:kern w:val="2"/>
          <w:sz w:val="32"/>
          <w:szCs w:val="32"/>
          <w:u w:val="none"/>
        </w:rPr>
        <w:t>《城市市政桥梁碳排放计算标准》等地方标准，支持</w:t>
      </w:r>
      <w:r>
        <w:rPr>
          <w:rFonts w:hint="eastAsia" w:ascii="仿宋" w:hAnsi="仿宋" w:eastAsia="仿宋" w:cs="仿宋"/>
          <w:kern w:val="2"/>
          <w:sz w:val="32"/>
          <w:szCs w:val="32"/>
          <w:u w:val="none"/>
          <w:lang w:eastAsia="zh-CN"/>
        </w:rPr>
        <w:t>自治区</w:t>
      </w:r>
      <w:r>
        <w:rPr>
          <w:rFonts w:hint="eastAsia" w:ascii="仿宋" w:hAnsi="仿宋" w:eastAsia="仿宋" w:cs="仿宋"/>
          <w:kern w:val="2"/>
          <w:sz w:val="32"/>
          <w:szCs w:val="32"/>
          <w:u w:val="none"/>
        </w:rPr>
        <w:t>围绕推动能耗双控转向碳排放双控先行探索，夯实碳排放统计核算工作基础。</w:t>
      </w:r>
      <w:r>
        <w:rPr>
          <w:rFonts w:hint="eastAsia" w:ascii="楷体" w:hAnsi="楷体" w:eastAsia="楷体" w:cs="楷体"/>
          <w:kern w:val="2"/>
          <w:sz w:val="32"/>
          <w:szCs w:val="32"/>
          <w:u w:val="none"/>
        </w:rPr>
        <w:t>（自治区生态环境厅、住房城乡建设厅、市场监管局、统计局、能源局等按职责分工负责）</w:t>
      </w:r>
    </w:p>
    <w:p>
      <w:pPr>
        <w:keepNext w:val="0"/>
        <w:keepLines w:val="0"/>
        <w:pageBreakBefore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u w:val="none"/>
        </w:rPr>
      </w:pPr>
      <w:r>
        <w:rPr>
          <w:rFonts w:hint="eastAsia" w:ascii="楷体" w:hAnsi="楷体" w:eastAsia="楷体" w:cs="楷体"/>
          <w:bCs/>
          <w:sz w:val="32"/>
          <w:szCs w:val="32"/>
          <w:u w:val="none"/>
        </w:rPr>
        <w:t>（十</w:t>
      </w:r>
      <w:r>
        <w:rPr>
          <w:rFonts w:hint="eastAsia" w:ascii="楷体" w:hAnsi="楷体" w:eastAsia="楷体" w:cs="楷体"/>
          <w:bCs/>
          <w:sz w:val="32"/>
          <w:szCs w:val="32"/>
          <w:u w:val="none"/>
          <w:lang w:eastAsia="zh-CN"/>
        </w:rPr>
        <w:t>二</w:t>
      </w:r>
      <w:r>
        <w:rPr>
          <w:rFonts w:hint="eastAsia" w:ascii="楷体" w:hAnsi="楷体" w:eastAsia="楷体" w:cs="楷体"/>
          <w:bCs/>
          <w:sz w:val="32"/>
          <w:szCs w:val="32"/>
          <w:u w:val="none"/>
        </w:rPr>
        <w:t>）强化法规标准支撑。</w:t>
      </w:r>
      <w:r>
        <w:rPr>
          <w:rFonts w:hint="eastAsia" w:ascii="仿宋" w:hAnsi="仿宋" w:eastAsia="仿宋" w:cs="仿宋"/>
          <w:sz w:val="32"/>
          <w:szCs w:val="32"/>
          <w:u w:val="none"/>
        </w:rPr>
        <w:t>推动修订</w:t>
      </w:r>
      <w:r>
        <w:rPr>
          <w:rFonts w:hint="eastAsia" w:ascii="仿宋" w:hAnsi="仿宋" w:eastAsia="仿宋" w:cs="仿宋"/>
          <w:sz w:val="32"/>
          <w:szCs w:val="32"/>
          <w:u w:val="none"/>
          <w:lang w:eastAsia="zh-CN"/>
        </w:rPr>
        <w:t>《内蒙古</w:t>
      </w:r>
      <w:r>
        <w:rPr>
          <w:rFonts w:hint="eastAsia" w:ascii="仿宋" w:hAnsi="仿宋" w:eastAsia="仿宋" w:cs="仿宋"/>
          <w:sz w:val="32"/>
          <w:szCs w:val="32"/>
          <w:u w:val="none"/>
        </w:rPr>
        <w:t>自治区实施</w:t>
      </w:r>
      <w:r>
        <w:rPr>
          <w:rFonts w:hint="eastAsia" w:ascii="仿宋" w:hAnsi="仿宋" w:eastAsia="仿宋" w:cs="仿宋"/>
          <w:sz w:val="32"/>
          <w:szCs w:val="32"/>
          <w:u w:val="none"/>
          <w:lang w:eastAsia="zh-CN"/>
        </w:rPr>
        <w:t>〈中华人民共和国</w:t>
      </w:r>
      <w:r>
        <w:rPr>
          <w:rFonts w:hint="eastAsia" w:ascii="仿宋" w:hAnsi="仿宋" w:eastAsia="仿宋" w:cs="仿宋"/>
          <w:sz w:val="32"/>
          <w:szCs w:val="32"/>
          <w:u w:val="none"/>
        </w:rPr>
        <w:t>节约能源法</w:t>
      </w:r>
      <w:r>
        <w:rPr>
          <w:rFonts w:hint="eastAsia" w:ascii="仿宋" w:hAnsi="仿宋" w:eastAsia="仿宋" w:cs="仿宋"/>
          <w:sz w:val="32"/>
          <w:szCs w:val="32"/>
          <w:u w:val="none"/>
          <w:lang w:eastAsia="zh-CN"/>
        </w:rPr>
        <w:t>〉</w:t>
      </w:r>
      <w:r>
        <w:rPr>
          <w:rFonts w:hint="eastAsia" w:ascii="仿宋" w:hAnsi="仿宋" w:eastAsia="仿宋" w:cs="仿宋"/>
          <w:sz w:val="32"/>
          <w:szCs w:val="32"/>
          <w:u w:val="none"/>
        </w:rPr>
        <w:t>办法》，不断完善地</w:t>
      </w:r>
      <w:r>
        <w:rPr>
          <w:rFonts w:hint="eastAsia" w:ascii="仿宋" w:hAnsi="仿宋" w:eastAsia="仿宋" w:cs="仿宋"/>
          <w:spacing w:val="-6"/>
          <w:sz w:val="32"/>
          <w:szCs w:val="32"/>
          <w:u w:val="none"/>
        </w:rPr>
        <w:t>方性法规和政</w:t>
      </w:r>
      <w:r>
        <w:rPr>
          <w:rFonts w:hint="eastAsia" w:ascii="仿宋" w:hAnsi="仿宋" w:eastAsia="仿宋" w:cs="仿宋"/>
          <w:sz w:val="32"/>
          <w:szCs w:val="32"/>
          <w:u w:val="none"/>
        </w:rPr>
        <w:t>府规章。加快修订自治区《居住建筑节能设计标准》</w:t>
      </w:r>
      <w:r>
        <w:rPr>
          <w:rFonts w:hint="eastAsia" w:ascii="仿宋" w:hAnsi="仿宋" w:eastAsia="仿宋" w:cs="仿宋"/>
          <w:sz w:val="32"/>
          <w:szCs w:val="32"/>
          <w:u w:val="none"/>
          <w:lang w:eastAsia="zh-CN"/>
        </w:rPr>
        <w:t>、</w:t>
      </w:r>
      <w:r>
        <w:rPr>
          <w:rFonts w:hint="eastAsia" w:ascii="仿宋" w:hAnsi="仿宋" w:eastAsia="仿宋" w:cs="仿宋"/>
          <w:sz w:val="32"/>
          <w:szCs w:val="32"/>
          <w:u w:val="none"/>
        </w:rPr>
        <w:t>《公共建筑节能设计标准》</w:t>
      </w:r>
      <w:r>
        <w:rPr>
          <w:rFonts w:hint="eastAsia" w:ascii="仿宋" w:hAnsi="仿宋" w:eastAsia="仿宋" w:cs="仿宋"/>
          <w:sz w:val="32"/>
          <w:szCs w:val="32"/>
          <w:u w:val="none"/>
          <w:lang w:eastAsia="zh-CN"/>
        </w:rPr>
        <w:t>、</w:t>
      </w:r>
      <w:r>
        <w:rPr>
          <w:rFonts w:hint="eastAsia" w:ascii="仿宋" w:hAnsi="仿宋" w:eastAsia="仿宋" w:cs="仿宋"/>
          <w:sz w:val="32"/>
          <w:szCs w:val="32"/>
          <w:u w:val="none"/>
        </w:rPr>
        <w:t>《超低能耗建筑技术标准》等一批建筑节能标准，</w:t>
      </w:r>
      <w:r>
        <w:rPr>
          <w:rFonts w:hint="eastAsia" w:ascii="仿宋" w:hAnsi="仿宋" w:eastAsia="仿宋" w:cs="仿宋"/>
          <w:sz w:val="32"/>
          <w:szCs w:val="32"/>
          <w:u w:val="none"/>
          <w:lang w:eastAsia="zh-CN"/>
        </w:rPr>
        <w:t>进一步</w:t>
      </w:r>
      <w:r>
        <w:rPr>
          <w:rFonts w:hint="eastAsia" w:ascii="仿宋" w:hAnsi="仿宋" w:eastAsia="仿宋" w:cs="仿宋"/>
          <w:sz w:val="32"/>
          <w:szCs w:val="32"/>
          <w:u w:val="none"/>
        </w:rPr>
        <w:t>完善覆盖设计、生产、施工和使用维护全过程的装配式建筑标准体系。加强建筑能效测评能力建设，开展新建建筑和既有建筑节能改造能效测评，确保建筑达到设计能效要求。</w:t>
      </w:r>
      <w:r>
        <w:rPr>
          <w:rFonts w:hint="eastAsia" w:ascii="楷体" w:hAnsi="楷体" w:eastAsia="楷体" w:cs="楷体"/>
          <w:sz w:val="32"/>
          <w:szCs w:val="32"/>
          <w:u w:val="none"/>
        </w:rPr>
        <w:t>（自治区住房城乡建设厅、发展改革委、市场监管局按职责分工负责）</w:t>
      </w:r>
    </w:p>
    <w:p>
      <w:pPr>
        <w:pStyle w:val="4"/>
        <w:keepNext w:val="0"/>
        <w:keepLines w:val="0"/>
        <w:pageBreakBefore w:val="0"/>
        <w:kinsoku/>
        <w:wordWrap/>
        <w:overflowPunct/>
        <w:topLinePunct/>
        <w:autoSpaceDE/>
        <w:autoSpaceDN/>
        <w:bidi w:val="0"/>
        <w:adjustRightInd/>
        <w:snapToGrid/>
        <w:spacing w:beforeAutospacing="0" w:afterAutospacing="0" w:line="580" w:lineRule="exact"/>
        <w:ind w:firstLine="640" w:firstLineChars="200"/>
        <w:jc w:val="both"/>
        <w:textAlignment w:val="auto"/>
        <w:rPr>
          <w:rFonts w:hint="eastAsia" w:ascii="楷体" w:hAnsi="楷体" w:eastAsia="楷体" w:cs="楷体"/>
          <w:kern w:val="2"/>
          <w:sz w:val="32"/>
          <w:szCs w:val="32"/>
          <w:u w:val="none"/>
        </w:rPr>
      </w:pPr>
      <w:r>
        <w:rPr>
          <w:rFonts w:hint="eastAsia" w:ascii="楷体" w:hAnsi="楷体" w:eastAsia="楷体" w:cs="楷体"/>
          <w:bCs/>
          <w:kern w:val="2"/>
          <w:sz w:val="32"/>
          <w:szCs w:val="32"/>
          <w:u w:val="none"/>
        </w:rPr>
        <w:t>（十</w:t>
      </w:r>
      <w:r>
        <w:rPr>
          <w:rFonts w:hint="eastAsia" w:ascii="楷体" w:hAnsi="楷体" w:eastAsia="楷体" w:cs="楷体"/>
          <w:bCs/>
          <w:kern w:val="2"/>
          <w:sz w:val="32"/>
          <w:szCs w:val="32"/>
          <w:u w:val="none"/>
          <w:lang w:eastAsia="zh-CN"/>
        </w:rPr>
        <w:t>三</w:t>
      </w:r>
      <w:r>
        <w:rPr>
          <w:rFonts w:hint="eastAsia" w:ascii="楷体" w:hAnsi="楷体" w:eastAsia="楷体" w:cs="楷体"/>
          <w:bCs/>
          <w:kern w:val="2"/>
          <w:sz w:val="32"/>
          <w:szCs w:val="32"/>
          <w:u w:val="none"/>
        </w:rPr>
        <w:t>）加大政策资金支持力度</w:t>
      </w:r>
      <w:r>
        <w:rPr>
          <w:rFonts w:hint="eastAsia" w:ascii="楷体" w:hAnsi="楷体" w:eastAsia="楷体" w:cs="楷体"/>
          <w:bCs/>
          <w:spacing w:val="-6"/>
          <w:kern w:val="2"/>
          <w:sz w:val="32"/>
          <w:szCs w:val="32"/>
          <w:u w:val="none"/>
        </w:rPr>
        <w:t>。</w:t>
      </w:r>
      <w:r>
        <w:rPr>
          <w:rFonts w:hint="eastAsia" w:ascii="仿宋" w:hAnsi="仿宋" w:eastAsia="仿宋" w:cs="仿宋"/>
          <w:spacing w:val="-6"/>
          <w:kern w:val="2"/>
          <w:sz w:val="32"/>
          <w:szCs w:val="32"/>
          <w:u w:val="none"/>
        </w:rPr>
        <w:t>统筹利用现有财税、金融、</w:t>
      </w:r>
      <w:r>
        <w:rPr>
          <w:rFonts w:hint="eastAsia" w:ascii="仿宋" w:hAnsi="仿宋" w:eastAsia="仿宋" w:cs="仿宋"/>
          <w:kern w:val="2"/>
          <w:sz w:val="32"/>
          <w:szCs w:val="32"/>
          <w:u w:val="none"/>
        </w:rPr>
        <w:t>投资、价格等政策，支持符合条件的建筑领域节能降碳项目。落实支持建筑节能、鼓励资源综合利用的税收优惠政策。用好结构性货币政策工具，鼓励银行保险机构在风险可控、商业可持续前提下加大融资支持力度，完善绿色金融等产品和服务，支持超低能耗建筑、绿色建筑、装配式建筑、智能建造、既有建筑节能改造、建筑可再生能源应用和相关产业发展。</w:t>
      </w:r>
      <w:r>
        <w:rPr>
          <w:rFonts w:hint="eastAsia" w:ascii="楷体" w:hAnsi="楷体" w:eastAsia="楷体" w:cs="楷体"/>
          <w:kern w:val="2"/>
          <w:sz w:val="32"/>
          <w:szCs w:val="32"/>
          <w:u w:val="none"/>
        </w:rPr>
        <w:t>（自治区财政厅、发展改革委</w:t>
      </w:r>
      <w:r>
        <w:rPr>
          <w:rFonts w:hint="eastAsia" w:ascii="楷体" w:hAnsi="楷体" w:eastAsia="楷体" w:cs="楷体"/>
          <w:kern w:val="2"/>
          <w:sz w:val="32"/>
          <w:szCs w:val="32"/>
          <w:u w:val="none"/>
          <w:lang w:eastAsia="zh-CN"/>
        </w:rPr>
        <w:t>，内蒙古</w:t>
      </w:r>
      <w:r>
        <w:rPr>
          <w:rFonts w:hint="eastAsia" w:ascii="楷体" w:hAnsi="楷体" w:eastAsia="楷体" w:cs="楷体"/>
          <w:kern w:val="2"/>
          <w:sz w:val="32"/>
          <w:szCs w:val="32"/>
          <w:u w:val="none"/>
        </w:rPr>
        <w:t>税务局、内蒙古金融监管局、中国人民银行内蒙古自治区分行按职责分工负责）</w:t>
      </w:r>
    </w:p>
    <w:p>
      <w:pPr>
        <w:pStyle w:val="4"/>
        <w:keepNext w:val="0"/>
        <w:keepLines w:val="0"/>
        <w:pageBreakBefore w:val="0"/>
        <w:kinsoku/>
        <w:wordWrap/>
        <w:overflowPunct/>
        <w:topLinePunct/>
        <w:autoSpaceDE/>
        <w:autoSpaceDN/>
        <w:bidi w:val="0"/>
        <w:adjustRightInd/>
        <w:snapToGrid/>
        <w:spacing w:beforeAutospacing="0" w:afterAutospacing="0" w:line="580" w:lineRule="exact"/>
        <w:ind w:firstLine="640" w:firstLineChars="200"/>
        <w:jc w:val="both"/>
        <w:textAlignment w:val="auto"/>
        <w:rPr>
          <w:rFonts w:hint="eastAsia" w:ascii="方正黑体_GBK" w:hAnsi="方正黑体_GBK" w:eastAsia="方正黑体_GBK" w:cs="方正黑体_GBK"/>
          <w:kern w:val="2"/>
          <w:sz w:val="32"/>
          <w:szCs w:val="32"/>
          <w:u w:val="none"/>
        </w:rPr>
      </w:pPr>
      <w:r>
        <w:rPr>
          <w:rFonts w:hint="eastAsia" w:ascii="黑体" w:hAnsi="黑体" w:eastAsia="黑体" w:cs="黑体"/>
          <w:kern w:val="2"/>
          <w:sz w:val="32"/>
          <w:szCs w:val="32"/>
          <w:u w:val="none"/>
        </w:rPr>
        <w:t>三、工作要求</w:t>
      </w:r>
    </w:p>
    <w:p>
      <w:pPr>
        <w:keepNext w:val="0"/>
        <w:keepLines w:val="0"/>
        <w:pageBreakBefore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仿宋" w:hAnsi="仿宋" w:eastAsia="仿宋" w:cs="仿宋"/>
          <w:bCs w:val="0"/>
          <w:sz w:val="32"/>
          <w:szCs w:val="32"/>
          <w:lang w:eastAsia="zh-CN"/>
        </w:rPr>
        <w:t>各盟市、</w:t>
      </w:r>
      <w:r>
        <w:rPr>
          <w:rFonts w:hint="eastAsia" w:ascii="仿宋" w:hAnsi="仿宋" w:eastAsia="仿宋" w:cs="仿宋"/>
          <w:sz w:val="32"/>
          <w:szCs w:val="32"/>
        </w:rPr>
        <w:t>各</w:t>
      </w:r>
      <w:r>
        <w:rPr>
          <w:rFonts w:hint="eastAsia" w:ascii="仿宋" w:hAnsi="仿宋" w:eastAsia="仿宋" w:cs="仿宋"/>
          <w:sz w:val="32"/>
          <w:szCs w:val="32"/>
          <w:lang w:eastAsia="zh-CN"/>
        </w:rPr>
        <w:t>有关</w:t>
      </w:r>
      <w:r>
        <w:rPr>
          <w:rFonts w:hint="eastAsia" w:ascii="仿宋" w:hAnsi="仿宋" w:eastAsia="仿宋" w:cs="仿宋"/>
          <w:sz w:val="32"/>
          <w:szCs w:val="32"/>
        </w:rPr>
        <w:t>部</w:t>
      </w:r>
      <w:r>
        <w:rPr>
          <w:rFonts w:hint="eastAsia" w:ascii="仿宋" w:hAnsi="仿宋" w:eastAsia="仿宋" w:cs="仿宋"/>
          <w:strike w:val="0"/>
          <w:dstrike w:val="0"/>
          <w:color w:val="auto"/>
          <w:sz w:val="32"/>
          <w:szCs w:val="32"/>
        </w:rPr>
        <w:t>门要</w:t>
      </w:r>
      <w:r>
        <w:rPr>
          <w:rFonts w:hint="eastAsia" w:ascii="仿宋" w:hAnsi="仿宋" w:eastAsia="仿宋" w:cs="仿宋"/>
          <w:sz w:val="32"/>
          <w:szCs w:val="32"/>
        </w:rPr>
        <w:t>认真贯彻落实党中央、国务院</w:t>
      </w:r>
      <w:r>
        <w:rPr>
          <w:rFonts w:hint="eastAsia" w:ascii="仿宋" w:hAnsi="仿宋" w:eastAsia="仿宋" w:cs="仿宋"/>
          <w:sz w:val="32"/>
          <w:szCs w:val="32"/>
          <w:lang w:eastAsia="zh-CN"/>
        </w:rPr>
        <w:t>决策部署及</w:t>
      </w:r>
      <w:r>
        <w:rPr>
          <w:rFonts w:hint="eastAsia" w:ascii="仿宋" w:hAnsi="仿宋" w:eastAsia="仿宋" w:cs="仿宋"/>
          <w:sz w:val="32"/>
          <w:szCs w:val="32"/>
        </w:rPr>
        <w:t>自治区党委</w:t>
      </w:r>
      <w:r>
        <w:rPr>
          <w:rFonts w:hint="eastAsia" w:ascii="仿宋" w:hAnsi="仿宋" w:eastAsia="仿宋" w:cs="仿宋"/>
          <w:sz w:val="32"/>
          <w:szCs w:val="32"/>
          <w:lang w:eastAsia="zh-CN"/>
        </w:rPr>
        <w:t>和</w:t>
      </w:r>
      <w:r>
        <w:rPr>
          <w:rFonts w:hint="eastAsia" w:ascii="仿宋" w:hAnsi="仿宋" w:eastAsia="仿宋" w:cs="仿宋"/>
          <w:sz w:val="32"/>
          <w:szCs w:val="32"/>
        </w:rPr>
        <w:t>政府</w:t>
      </w:r>
      <w:r>
        <w:rPr>
          <w:rFonts w:hint="eastAsia" w:ascii="仿宋" w:hAnsi="仿宋" w:eastAsia="仿宋" w:cs="仿宋"/>
          <w:sz w:val="32"/>
          <w:szCs w:val="32"/>
          <w:lang w:eastAsia="zh-CN"/>
        </w:rPr>
        <w:t>工作要求</w:t>
      </w:r>
      <w:r>
        <w:rPr>
          <w:rFonts w:hint="eastAsia" w:ascii="仿宋" w:hAnsi="仿宋" w:eastAsia="仿宋" w:cs="仿宋"/>
          <w:sz w:val="32"/>
          <w:szCs w:val="32"/>
        </w:rPr>
        <w:t>，充分认识加快推动建筑领域节能降碳的重要性，将本方案重点任务落细落实，加强统筹协调和政策资金支持，形成工作合力</w:t>
      </w:r>
      <w:r>
        <w:rPr>
          <w:rFonts w:hint="eastAsia" w:ascii="仿宋" w:hAnsi="仿宋" w:eastAsia="仿宋" w:cs="仿宋"/>
          <w:sz w:val="32"/>
          <w:szCs w:val="32"/>
          <w:lang w:eastAsia="zh-CN"/>
        </w:rPr>
        <w:t>，按期</w:t>
      </w:r>
      <w:r>
        <w:rPr>
          <w:rFonts w:hint="eastAsia" w:ascii="仿宋" w:hAnsi="仿宋" w:eastAsia="仿宋" w:cs="仿宋"/>
          <w:sz w:val="32"/>
          <w:szCs w:val="32"/>
        </w:rPr>
        <w:t>完成</w:t>
      </w:r>
      <w:r>
        <w:rPr>
          <w:rFonts w:hint="eastAsia" w:ascii="仿宋" w:hAnsi="仿宋" w:eastAsia="仿宋" w:cs="仿宋"/>
          <w:sz w:val="32"/>
          <w:szCs w:val="32"/>
          <w:lang w:eastAsia="zh-CN"/>
        </w:rPr>
        <w:t>各项</w:t>
      </w:r>
      <w:r>
        <w:rPr>
          <w:rFonts w:hint="eastAsia" w:ascii="仿宋" w:hAnsi="仿宋" w:eastAsia="仿宋" w:cs="仿宋"/>
          <w:sz w:val="32"/>
          <w:szCs w:val="32"/>
        </w:rPr>
        <w:t>目标任务，提高能源利用效率，促进建筑领域高质量发展。</w:t>
      </w:r>
      <w:r>
        <w:rPr>
          <w:rFonts w:hint="eastAsia" w:ascii="仿宋" w:hAnsi="仿宋" w:eastAsia="仿宋" w:cs="仿宋"/>
          <w:sz w:val="32"/>
          <w:szCs w:val="32"/>
          <w:lang w:eastAsia="zh-CN"/>
        </w:rPr>
        <w:t>坚持</w:t>
      </w:r>
      <w:r>
        <w:rPr>
          <w:rFonts w:hint="eastAsia" w:ascii="仿宋" w:hAnsi="仿宋" w:eastAsia="仿宋" w:cs="仿宋"/>
          <w:sz w:val="32"/>
          <w:szCs w:val="32"/>
        </w:rPr>
        <w:t>系统观念，统筹兼顾各方利益，有效解决可能出现的问题和矛盾，确保兜住民生底线</w:t>
      </w:r>
      <w:r>
        <w:rPr>
          <w:rFonts w:hint="eastAsia" w:ascii="仿宋" w:hAnsi="仿宋" w:eastAsia="仿宋" w:cs="仿宋"/>
          <w:sz w:val="32"/>
          <w:szCs w:val="32"/>
          <w:lang w:eastAsia="zh-CN"/>
        </w:rPr>
        <w:t>。</w:t>
      </w:r>
      <w:r>
        <w:rPr>
          <w:rFonts w:hint="eastAsia" w:ascii="仿宋" w:hAnsi="仿宋" w:eastAsia="仿宋" w:cs="仿宋"/>
          <w:sz w:val="32"/>
          <w:szCs w:val="32"/>
        </w:rPr>
        <w:t>加大对城乡建设绿色发展的宣传力度，普及建筑节能降碳法律法规和相关知识。</w:t>
      </w:r>
      <w:bookmarkStart w:id="2" w:name="_GoBack"/>
      <w:bookmarkEnd w:id="2"/>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tbl>
      <w:tblPr>
        <w:tblStyle w:val="12"/>
        <w:tblpPr w:leftFromText="180" w:rightFromText="180" w:vertAnchor="text" w:horzAnchor="page" w:tblpX="1645" w:tblpY="4070"/>
        <w:tblOverlap w:val="never"/>
        <w:tblW w:w="8950" w:type="dxa"/>
        <w:tblInd w:w="0" w:type="dxa"/>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8950"/>
      </w:tblGrid>
      <w:tr>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c>
          <w:tcPr>
            <w:tcW w:w="8950"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textAlignment w:val="auto"/>
              <w:rPr>
                <w:rFonts w:hint="eastAsia" w:ascii="仿宋" w:hAnsi="仿宋" w:eastAsia="仿宋" w:cs="仿宋"/>
                <w:sz w:val="28"/>
              </w:rPr>
            </w:pPr>
            <w:r>
              <w:rPr>
                <w:rFonts w:hint="eastAsia" w:ascii="仿宋" w:hAnsi="仿宋" w:eastAsia="仿宋" w:cs="仿宋"/>
                <w:sz w:val="28"/>
              </w:rPr>
              <w:t>抄送：自治区党委各部门，内蒙古军区，武警内蒙古总队。</w:t>
            </w:r>
          </w:p>
          <w:p>
            <w:pPr>
              <w:keepNext w:val="0"/>
              <w:keepLines w:val="0"/>
              <w:pageBreakBefore w:val="0"/>
              <w:widowControl w:val="0"/>
              <w:kinsoku/>
              <w:wordWrap/>
              <w:overflowPunct/>
              <w:topLinePunct w:val="0"/>
              <w:autoSpaceDE/>
              <w:autoSpaceDN/>
              <w:bidi w:val="0"/>
              <w:adjustRightInd/>
              <w:snapToGrid/>
              <w:spacing w:line="400" w:lineRule="exact"/>
              <w:ind w:left="1048" w:leftChars="499" w:right="210" w:rightChars="100" w:firstLine="0" w:firstLineChars="0"/>
              <w:textAlignment w:val="auto"/>
              <w:rPr>
                <w:rFonts w:hint="eastAsia" w:ascii="仿宋" w:hAnsi="仿宋" w:eastAsia="仿宋" w:cs="仿宋"/>
                <w:sz w:val="28"/>
              </w:rPr>
            </w:pPr>
            <w:r>
              <w:rPr>
                <w:rFonts w:hint="eastAsia" w:ascii="仿宋" w:hAnsi="仿宋" w:eastAsia="仿宋" w:cs="仿宋"/>
                <w:sz w:val="28"/>
              </w:rPr>
              <w:t>自治区人大常委会办公厅、政协办公厅，</w:t>
            </w:r>
            <w:r>
              <w:rPr>
                <w:rFonts w:hint="eastAsia" w:ascii="仿宋" w:hAnsi="仿宋" w:eastAsia="仿宋" w:cs="仿宋"/>
                <w:sz w:val="28"/>
                <w:lang w:eastAsia="zh-CN"/>
              </w:rPr>
              <w:t>自治区监委，自治区</w:t>
            </w:r>
            <w:r>
              <w:rPr>
                <w:rFonts w:hint="eastAsia" w:ascii="仿宋" w:hAnsi="仿宋" w:eastAsia="仿宋" w:cs="仿宋"/>
                <w:sz w:val="28"/>
              </w:rPr>
              <w:t>高级人民法院，检察院。</w:t>
            </w:r>
          </w:p>
          <w:p>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firstLine="840" w:firstLineChars="300"/>
              <w:textAlignment w:val="auto"/>
              <w:rPr>
                <w:rFonts w:hint="eastAsia" w:ascii="仿宋" w:hAnsi="仿宋" w:eastAsia="仿宋" w:cs="仿宋"/>
                <w:sz w:val="28"/>
              </w:rPr>
            </w:pPr>
            <w:r>
              <w:rPr>
                <w:rFonts w:hint="eastAsia" w:ascii="仿宋" w:hAnsi="仿宋" w:eastAsia="仿宋" w:cs="仿宋"/>
                <w:sz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445" w:hRule="atLeast"/>
        </w:trPr>
        <w:tc>
          <w:tcPr>
            <w:tcW w:w="8950"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firstLine="0" w:firstLineChars="0"/>
              <w:textAlignment w:val="auto"/>
              <w:rPr>
                <w:rFonts w:hint="eastAsia" w:ascii="仿宋" w:hAnsi="仿宋" w:eastAsia="仿宋" w:cs="仿宋"/>
                <w:sz w:val="28"/>
              </w:rPr>
            </w:pPr>
            <w:r>
              <w:rPr>
                <w:rFonts w:hint="eastAsia" w:ascii="仿宋" w:hAnsi="仿宋" w:eastAsia="仿宋" w:cs="仿宋"/>
                <w:sz w:val="28"/>
              </w:rPr>
              <w:t xml:space="preserve">内蒙古自治区人民政府办公厅文电处    </w:t>
            </w:r>
            <w:r>
              <w:rPr>
                <w:rFonts w:hint="eastAsia" w:ascii="仿宋" w:hAnsi="仿宋" w:eastAsia="仿宋" w:cs="仿宋"/>
                <w:sz w:val="28"/>
                <w:lang w:val="en-US" w:eastAsia="zh-CN"/>
              </w:rPr>
              <w:t xml:space="preserve"> </w:t>
            </w:r>
            <w:r>
              <w:rPr>
                <w:rFonts w:hint="eastAsia" w:ascii="仿宋" w:hAnsi="仿宋" w:eastAsia="仿宋" w:cs="仿宋"/>
                <w:sz w:val="28"/>
              </w:rPr>
              <w:t xml:space="preserve">   202</w:t>
            </w:r>
            <w:r>
              <w:rPr>
                <w:rFonts w:hint="eastAsia" w:ascii="仿宋" w:hAnsi="仿宋" w:eastAsia="仿宋" w:cs="仿宋"/>
                <w:sz w:val="28"/>
                <w:lang w:val="en-US" w:eastAsia="zh-CN"/>
              </w:rPr>
              <w:t>4</w:t>
            </w:r>
            <w:r>
              <w:rPr>
                <w:rFonts w:hint="eastAsia" w:ascii="仿宋" w:hAnsi="仿宋" w:eastAsia="仿宋" w:cs="仿宋"/>
                <w:sz w:val="28"/>
              </w:rPr>
              <w:t>年</w:t>
            </w:r>
            <w:r>
              <w:rPr>
                <w:rFonts w:hint="eastAsia" w:ascii="仿宋" w:hAnsi="仿宋" w:eastAsia="仿宋" w:cs="仿宋"/>
                <w:sz w:val="28"/>
                <w:lang w:val="en-US" w:eastAsia="zh-CN"/>
              </w:rPr>
              <w:t>9</w:t>
            </w:r>
            <w:r>
              <w:rPr>
                <w:rFonts w:hint="eastAsia" w:ascii="仿宋" w:hAnsi="仿宋" w:eastAsia="仿宋" w:cs="仿宋"/>
                <w:sz w:val="28"/>
              </w:rPr>
              <w:t>月</w:t>
            </w:r>
            <w:r>
              <w:rPr>
                <w:rFonts w:hint="eastAsia" w:ascii="仿宋" w:hAnsi="仿宋" w:eastAsia="仿宋" w:cs="仿宋"/>
                <w:sz w:val="28"/>
                <w:lang w:val="en-US" w:eastAsia="zh-CN"/>
              </w:rPr>
              <w:t>10</w:t>
            </w:r>
            <w:r>
              <w:rPr>
                <w:rFonts w:hint="eastAsia" w:ascii="仿宋" w:hAnsi="仿宋" w:eastAsia="仿宋" w:cs="仿宋"/>
                <w:sz w:val="28"/>
              </w:rPr>
              <w:t>日印发</w:t>
            </w:r>
          </w:p>
        </w:tc>
      </w:tr>
    </w:tbl>
    <w:p>
      <w:pPr>
        <w:adjustRightInd w:val="0"/>
        <w:snapToGrid w:val="0"/>
        <w:spacing w:line="580" w:lineRule="exact"/>
        <w:rPr>
          <w:rFonts w:hint="eastAsia"/>
        </w:rPr>
      </w:pPr>
      <w:r>
        <w:rPr>
          <w:rFonts w:hint="eastAsia" w:ascii="黑体" w:eastAsia="黑体"/>
          <w:sz w:val="32"/>
          <w:lang/>
        </w:rPr>
        <mc:AlternateContent>
          <mc:Choice Requires="wps">
            <w:drawing>
              <wp:anchor distT="0" distB="0" distL="114300" distR="114300" simplePos="0" relativeHeight="251658240" behindDoc="0" locked="0" layoutInCell="1" allowOverlap="1">
                <wp:simplePos x="0" y="0"/>
                <wp:positionH relativeFrom="margin">
                  <wp:posOffset>3654425</wp:posOffset>
                </wp:positionH>
                <wp:positionV relativeFrom="margin">
                  <wp:posOffset>8227060</wp:posOffset>
                </wp:positionV>
                <wp:extent cx="1943100" cy="891540"/>
                <wp:effectExtent l="0" t="0" r="0" b="3810"/>
                <wp:wrapNone/>
                <wp:docPr id="1" name="Text Box 6"/>
                <wp:cNvGraphicFramePr/>
                <a:graphic xmlns:a="http://schemas.openxmlformats.org/drawingml/2006/main">
                  <a:graphicData uri="http://schemas.microsoft.com/office/word/2010/wordprocessingShape">
                    <wps:wsp>
                      <wps:cNvSpPr txBox="1"/>
                      <wps:spPr>
                        <a:xfrm>
                          <a:off x="0" y="0"/>
                          <a:ext cx="1943100" cy="891540"/>
                        </a:xfrm>
                        <a:prstGeom prst="rect">
                          <a:avLst/>
                        </a:prstGeom>
                        <a:solidFill>
                          <a:srgbClr val="FFFFFF"/>
                        </a:solidFill>
                        <a:ln>
                          <a:noFill/>
                        </a:ln>
                      </wps:spPr>
                      <wps:txbx>
                        <w:txbxContent>
                          <w:p>
                            <w:pPr>
                              <w:rPr>
                                <w:rFonts w:hint="eastAsia" w:eastAsia="宋体"/>
                                <w:sz w:val="52"/>
                                <w:szCs w:val="52"/>
                                <w:lang w:eastAsia="zh-CN"/>
                              </w:rPr>
                            </w:pPr>
                            <w:bookmarkStart w:id="1" w:name="二维条码"/>
                            <w:bookmarkEnd w:id="1"/>
                            <w:r>
                              <w:rPr>
                                <w:rFonts w:hint="eastAsia" w:eastAsia="宋体"/>
                                <w:sz w:val="52"/>
                                <w:szCs w:val="52"/>
                                <w:lang w:eastAsia="zh-CN"/>
                              </w:rPr>
                              <w:drawing>
                                <wp:inline distT="0" distB="0" distL="114300" distR="114300">
                                  <wp:extent cx="1758315" cy="467995"/>
                                  <wp:effectExtent l="0" t="0" r="13335" b="8255"/>
                                  <wp:docPr id="2" name="图片 3" descr="20240911085116_7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20240911085116_7056"/>
                                          <pic:cNvPicPr>
                                            <a:picLocks noChangeAspect="1"/>
                                          </pic:cNvPicPr>
                                        </pic:nvPicPr>
                                        <pic:blipFill>
                                          <a:blip r:embed="rId8"/>
                                          <a:stretch>
                                            <a:fillRect/>
                                          </a:stretch>
                                        </pic:blipFill>
                                        <pic:spPr>
                                          <a:xfrm>
                                            <a:off x="0" y="0"/>
                                            <a:ext cx="1758315" cy="467995"/>
                                          </a:xfrm>
                                          <a:prstGeom prst="rect">
                                            <a:avLst/>
                                          </a:prstGeom>
                                          <a:noFill/>
                                          <a:ln>
                                            <a:noFill/>
                                          </a:ln>
                                        </pic:spPr>
                                      </pic:pic>
                                    </a:graphicData>
                                  </a:graphic>
                                </wp:inline>
                              </w:drawing>
                            </w:r>
                          </w:p>
                        </w:txbxContent>
                      </wps:txbx>
                      <wps:bodyPr vert="horz" wrap="none" anchor="t" anchorCtr="0" upright="1">
                        <a:spAutoFit/>
                      </wps:bodyPr>
                    </wps:wsp>
                  </a:graphicData>
                </a:graphic>
              </wp:anchor>
            </w:drawing>
          </mc:Choice>
          <mc:Fallback>
            <w:pict>
              <v:shape id="Text Box 6" o:spid="_x0000_s1026" o:spt="202" type="#_x0000_t202" style="position:absolute;left:0pt;margin-left:287.75pt;margin-top:647.8pt;height:70.2pt;width:153pt;mso-position-horizontal-relative:margin;mso-position-vertical-relative:margin;mso-wrap-style:none;z-index:251658240;mso-width-relative:page;mso-height-relative:page;" fillcolor="#FFFFFF" filled="t" stroked="f" coordsize="21600,21600" o:gfxdata="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lqbwF2wAAAA0BAAAPAAAAAAAAAAEAIAAAACIAAABkcnMvZG93bnJldi54&#10;bWxQSwECFAAUAAAACACHTuJAhyOWjL4BAABzAwAADgAAAAAAAAABACAAAAAqAQAAZHJzL2Uyb0Rv&#10;Yy54bWxQSwUGAAAAAAYABgBZAQAAWgUAAAAA&#10;">
                <v:fill on="t" focussize="0,0"/>
                <v:stroke on="f"/>
                <v:imagedata o:title=""/>
                <o:lock v:ext="edit" aspectratio="f"/>
                <v:textbox style="mso-fit-shape-to-text:t;">
                  <w:txbxContent>
                    <w:p>
                      <w:pPr>
                        <w:rPr>
                          <w:rFonts w:hint="eastAsia" w:eastAsia="宋体"/>
                          <w:sz w:val="52"/>
                          <w:szCs w:val="52"/>
                          <w:lang w:eastAsia="zh-CN"/>
                        </w:rPr>
                      </w:pPr>
                      <w:bookmarkStart w:id="1" w:name="二维条码"/>
                      <w:bookmarkEnd w:id="1"/>
                      <w:r>
                        <w:rPr>
                          <w:rFonts w:hint="eastAsia" w:eastAsia="宋体"/>
                          <w:sz w:val="52"/>
                          <w:szCs w:val="52"/>
                          <w:lang w:eastAsia="zh-CN"/>
                        </w:rPr>
                        <w:drawing>
                          <wp:inline distT="0" distB="0" distL="114300" distR="114300">
                            <wp:extent cx="1758315" cy="467995"/>
                            <wp:effectExtent l="0" t="0" r="13335" b="8255"/>
                            <wp:docPr id="2" name="图片 3" descr="20240911085116_7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20240911085116_7056"/>
                                    <pic:cNvPicPr>
                                      <a:picLocks noChangeAspect="1"/>
                                    </pic:cNvPicPr>
                                  </pic:nvPicPr>
                                  <pic:blipFill>
                                    <a:blip r:embed="rId8"/>
                                    <a:stretch>
                                      <a:fillRect/>
                                    </a:stretch>
                                  </pic:blipFill>
                                  <pic:spPr>
                                    <a:xfrm>
                                      <a:off x="0" y="0"/>
                                      <a:ext cx="1758315" cy="467995"/>
                                    </a:xfrm>
                                    <a:prstGeom prst="rect">
                                      <a:avLst/>
                                    </a:prstGeom>
                                    <a:noFill/>
                                    <a:ln>
                                      <a:noFill/>
                                    </a:ln>
                                  </pic:spPr>
                                </pic:pic>
                              </a:graphicData>
                            </a:graphic>
                          </wp:inline>
                        </w:drawing>
                      </w:r>
                    </w:p>
                  </w:txbxContent>
                </v:textbox>
              </v:shape>
            </w:pict>
          </mc:Fallback>
        </mc:AlternateContent>
      </w:r>
    </w:p>
    <w:sectPr>
      <w:headerReference r:id="rId3" w:type="default"/>
      <w:footerReference r:id="rId5" w:type="default"/>
      <w:headerReference r:id="rId4" w:type="even"/>
      <w:footerReference r:id="rId6" w:type="even"/>
      <w:pgSz w:w="11906" w:h="16838"/>
      <w:pgMar w:top="2098" w:right="1474" w:bottom="1701" w:left="1474" w:header="851" w:footer="1417" w:gutter="0"/>
      <w:paperSrc/>
      <w:pgBorders>
        <w:top w:val="none" w:sz="0" w:space="0"/>
        <w:left w:val="none" w:sz="0" w:space="0"/>
        <w:bottom w:val="none" w:sz="0" w:space="0"/>
        <w:right w:val="none" w:sz="0" w:space="0"/>
      </w:pgBorders>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华文仿宋">
    <w:altName w:val="方正仿宋_GBK"/>
    <w:panose1 w:val="02010600040101010101"/>
    <w:charset w:val="00"/>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2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黑体_GBK">
    <w:altName w:val="微软雅黑"/>
    <w:panose1 w:val="02000000000000000000"/>
    <w:charset w:val="86"/>
    <w:family w:val="auto"/>
    <w:pitch w:val="default"/>
    <w:sig w:usb0="A00002BF" w:usb1="38CF7CFA" w:usb2="00082016" w:usb3="00000000" w:csb0="00040001"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page" w:x="9452" w:y="-23"/>
      <w:rPr>
        <w:rStyle w:val="15"/>
        <w:rFonts w:hint="eastAsia" w:ascii="宋体" w:hAnsi="宋体"/>
        <w:sz w:val="28"/>
        <w:szCs w:val="28"/>
      </w:rPr>
    </w:pPr>
    <w:r>
      <w:rPr>
        <w:rFonts w:hint="eastAsia" w:ascii="宋体" w:hAnsi="宋体"/>
        <w:sz w:val="28"/>
        <w:szCs w:val="28"/>
      </w:rPr>
      <w:fldChar w:fldCharType="begin"/>
    </w:r>
    <w:r>
      <w:rPr>
        <w:rStyle w:val="15"/>
        <w:rFonts w:hint="eastAsia" w:ascii="宋体" w:hAnsi="宋体"/>
        <w:sz w:val="28"/>
        <w:szCs w:val="28"/>
      </w:rPr>
      <w:instrText xml:space="preserve">PAGE  </w:instrText>
    </w:r>
    <w:r>
      <w:rPr>
        <w:rFonts w:hint="eastAsia" w:ascii="宋体" w:hAnsi="宋体"/>
        <w:sz w:val="28"/>
        <w:szCs w:val="28"/>
      </w:rPr>
      <w:fldChar w:fldCharType="separate"/>
    </w:r>
    <w:r>
      <w:rPr>
        <w:rStyle w:val="15"/>
        <w:rFonts w:ascii="宋体" w:hAnsi="宋体"/>
        <w:sz w:val="28"/>
        <w:szCs w:val="28"/>
        <w:lang/>
      </w:rPr>
      <w:t>- 1 -</w:t>
    </w:r>
    <w:r>
      <w:rPr>
        <w:rFonts w:hint="eastAsia" w:ascii="宋体" w:hAnsi="宋体"/>
        <w:sz w:val="28"/>
        <w:szCs w:val="28"/>
      </w:rPr>
      <w:fldChar w:fldCharType="end"/>
    </w:r>
  </w:p>
  <w:p>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page" w:x="1892" w:y="-23"/>
      <w:rPr>
        <w:rStyle w:val="15"/>
        <w:rFonts w:ascii="宋体" w:hAnsi="宋体"/>
        <w:sz w:val="28"/>
        <w:szCs w:val="28"/>
      </w:rPr>
    </w:pPr>
    <w:r>
      <w:rPr>
        <w:rFonts w:ascii="宋体" w:hAnsi="宋体"/>
        <w:sz w:val="28"/>
        <w:szCs w:val="28"/>
      </w:rPr>
      <w:fldChar w:fldCharType="begin"/>
    </w:r>
    <w:r>
      <w:rPr>
        <w:rStyle w:val="15"/>
        <w:rFonts w:ascii="宋体" w:hAnsi="宋体"/>
        <w:sz w:val="28"/>
        <w:szCs w:val="28"/>
      </w:rPr>
      <w:instrText xml:space="preserve">PAGE  </w:instrText>
    </w:r>
    <w:r>
      <w:rPr>
        <w:rFonts w:ascii="宋体" w:hAnsi="宋体"/>
        <w:sz w:val="28"/>
        <w:szCs w:val="28"/>
      </w:rPr>
      <w:fldChar w:fldCharType="separate"/>
    </w:r>
    <w:r>
      <w:rPr>
        <w:rStyle w:val="15"/>
        <w:rFonts w:ascii="宋体" w:hAnsi="宋体"/>
        <w:sz w:val="28"/>
        <w:szCs w:val="28"/>
        <w:lang/>
      </w:rPr>
      <w:t>- 2 -</w:t>
    </w:r>
    <w:r>
      <w:rPr>
        <w:rFonts w:ascii="宋体" w:hAnsi="宋体"/>
        <w:sz w:val="28"/>
        <w:szCs w:val="28"/>
      </w:rPr>
      <w:fldChar w:fldCharType="end"/>
    </w:r>
  </w:p>
  <w:p>
    <w:pPr>
      <w:pStyle w:val="1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revisionView w:markup="0"/>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76A"/>
    <w:rsid w:val="0000053B"/>
    <w:rsid w:val="00000BC8"/>
    <w:rsid w:val="00000D35"/>
    <w:rsid w:val="00000E8A"/>
    <w:rsid w:val="00001A5E"/>
    <w:rsid w:val="0001025F"/>
    <w:rsid w:val="00010E72"/>
    <w:rsid w:val="00010FBD"/>
    <w:rsid w:val="000134B5"/>
    <w:rsid w:val="0001572E"/>
    <w:rsid w:val="0001671F"/>
    <w:rsid w:val="0001751F"/>
    <w:rsid w:val="00017973"/>
    <w:rsid w:val="00017C56"/>
    <w:rsid w:val="00017C8E"/>
    <w:rsid w:val="00021290"/>
    <w:rsid w:val="000228A4"/>
    <w:rsid w:val="00024FC9"/>
    <w:rsid w:val="00025291"/>
    <w:rsid w:val="0003004C"/>
    <w:rsid w:val="000305B6"/>
    <w:rsid w:val="00031020"/>
    <w:rsid w:val="00036CC9"/>
    <w:rsid w:val="00037A1D"/>
    <w:rsid w:val="000403F6"/>
    <w:rsid w:val="0004119F"/>
    <w:rsid w:val="00041495"/>
    <w:rsid w:val="00043109"/>
    <w:rsid w:val="00043BA4"/>
    <w:rsid w:val="00043EF7"/>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E83"/>
    <w:rsid w:val="0007324B"/>
    <w:rsid w:val="00074623"/>
    <w:rsid w:val="00076F96"/>
    <w:rsid w:val="00082970"/>
    <w:rsid w:val="0008397E"/>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D1918"/>
    <w:rsid w:val="000D2276"/>
    <w:rsid w:val="000D46E6"/>
    <w:rsid w:val="000D4B7C"/>
    <w:rsid w:val="000E189F"/>
    <w:rsid w:val="000E242A"/>
    <w:rsid w:val="000E2DE0"/>
    <w:rsid w:val="000E4A4D"/>
    <w:rsid w:val="000E5531"/>
    <w:rsid w:val="000E6931"/>
    <w:rsid w:val="000F0166"/>
    <w:rsid w:val="000F1D11"/>
    <w:rsid w:val="000F321D"/>
    <w:rsid w:val="000F3390"/>
    <w:rsid w:val="000F3786"/>
    <w:rsid w:val="000F3C60"/>
    <w:rsid w:val="000F7B4B"/>
    <w:rsid w:val="00100F1E"/>
    <w:rsid w:val="00104732"/>
    <w:rsid w:val="00104FB1"/>
    <w:rsid w:val="001106F2"/>
    <w:rsid w:val="00110B09"/>
    <w:rsid w:val="0011191E"/>
    <w:rsid w:val="001147E4"/>
    <w:rsid w:val="00114AC4"/>
    <w:rsid w:val="00114FD2"/>
    <w:rsid w:val="001166E7"/>
    <w:rsid w:val="00117691"/>
    <w:rsid w:val="0012067D"/>
    <w:rsid w:val="00120FA6"/>
    <w:rsid w:val="00121523"/>
    <w:rsid w:val="00121A80"/>
    <w:rsid w:val="0012298D"/>
    <w:rsid w:val="00122EA1"/>
    <w:rsid w:val="00124296"/>
    <w:rsid w:val="001243C4"/>
    <w:rsid w:val="0012798F"/>
    <w:rsid w:val="00127D04"/>
    <w:rsid w:val="001303D3"/>
    <w:rsid w:val="001316F8"/>
    <w:rsid w:val="00132688"/>
    <w:rsid w:val="00132E64"/>
    <w:rsid w:val="001332BC"/>
    <w:rsid w:val="001340AD"/>
    <w:rsid w:val="0013461A"/>
    <w:rsid w:val="00137385"/>
    <w:rsid w:val="00140625"/>
    <w:rsid w:val="00142107"/>
    <w:rsid w:val="001458A3"/>
    <w:rsid w:val="00145C0B"/>
    <w:rsid w:val="00145D2E"/>
    <w:rsid w:val="00146D53"/>
    <w:rsid w:val="00147907"/>
    <w:rsid w:val="00151C4B"/>
    <w:rsid w:val="00151F28"/>
    <w:rsid w:val="00153017"/>
    <w:rsid w:val="00155A0E"/>
    <w:rsid w:val="001602EE"/>
    <w:rsid w:val="001608F4"/>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2BD2"/>
    <w:rsid w:val="001A3639"/>
    <w:rsid w:val="001A72B0"/>
    <w:rsid w:val="001B2E25"/>
    <w:rsid w:val="001B36FF"/>
    <w:rsid w:val="001B41AE"/>
    <w:rsid w:val="001B6A85"/>
    <w:rsid w:val="001C21AB"/>
    <w:rsid w:val="001C291D"/>
    <w:rsid w:val="001C2E2C"/>
    <w:rsid w:val="001C2FB0"/>
    <w:rsid w:val="001C3230"/>
    <w:rsid w:val="001C4131"/>
    <w:rsid w:val="001C472D"/>
    <w:rsid w:val="001D0ADB"/>
    <w:rsid w:val="001D2A39"/>
    <w:rsid w:val="001D2EC2"/>
    <w:rsid w:val="001D3381"/>
    <w:rsid w:val="001D38D9"/>
    <w:rsid w:val="001D42FD"/>
    <w:rsid w:val="001D50C7"/>
    <w:rsid w:val="001D62F3"/>
    <w:rsid w:val="001E1712"/>
    <w:rsid w:val="001E3AE1"/>
    <w:rsid w:val="001E4564"/>
    <w:rsid w:val="001E463E"/>
    <w:rsid w:val="001E48FC"/>
    <w:rsid w:val="001E51E8"/>
    <w:rsid w:val="001E5A4A"/>
    <w:rsid w:val="001F077E"/>
    <w:rsid w:val="001F275C"/>
    <w:rsid w:val="001F4B62"/>
    <w:rsid w:val="001F53DE"/>
    <w:rsid w:val="002014F1"/>
    <w:rsid w:val="002016DC"/>
    <w:rsid w:val="00202305"/>
    <w:rsid w:val="002037DD"/>
    <w:rsid w:val="00203FE2"/>
    <w:rsid w:val="00205C6F"/>
    <w:rsid w:val="002112BA"/>
    <w:rsid w:val="00211B40"/>
    <w:rsid w:val="0021430F"/>
    <w:rsid w:val="00216D89"/>
    <w:rsid w:val="0022010B"/>
    <w:rsid w:val="00222BE8"/>
    <w:rsid w:val="00225BC5"/>
    <w:rsid w:val="00226765"/>
    <w:rsid w:val="002301CC"/>
    <w:rsid w:val="00230DF7"/>
    <w:rsid w:val="00232D97"/>
    <w:rsid w:val="00233CA4"/>
    <w:rsid w:val="00237D8D"/>
    <w:rsid w:val="00243573"/>
    <w:rsid w:val="002438BD"/>
    <w:rsid w:val="00244F58"/>
    <w:rsid w:val="002502FA"/>
    <w:rsid w:val="002508F6"/>
    <w:rsid w:val="00253497"/>
    <w:rsid w:val="00253505"/>
    <w:rsid w:val="002537D8"/>
    <w:rsid w:val="00253D8D"/>
    <w:rsid w:val="00254C91"/>
    <w:rsid w:val="0026009A"/>
    <w:rsid w:val="00260B18"/>
    <w:rsid w:val="00261C1B"/>
    <w:rsid w:val="00263BB4"/>
    <w:rsid w:val="00264B5A"/>
    <w:rsid w:val="00265F33"/>
    <w:rsid w:val="002701FE"/>
    <w:rsid w:val="00271599"/>
    <w:rsid w:val="002750B4"/>
    <w:rsid w:val="002755E6"/>
    <w:rsid w:val="00277086"/>
    <w:rsid w:val="0027732C"/>
    <w:rsid w:val="00284880"/>
    <w:rsid w:val="00286092"/>
    <w:rsid w:val="00290135"/>
    <w:rsid w:val="00294F4F"/>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D063C"/>
    <w:rsid w:val="002D2CF6"/>
    <w:rsid w:val="002D31DC"/>
    <w:rsid w:val="002D3F3C"/>
    <w:rsid w:val="002D4032"/>
    <w:rsid w:val="002D5A5E"/>
    <w:rsid w:val="002D7462"/>
    <w:rsid w:val="002E0919"/>
    <w:rsid w:val="002E2F22"/>
    <w:rsid w:val="002E3CC3"/>
    <w:rsid w:val="002F5BA9"/>
    <w:rsid w:val="00301AC3"/>
    <w:rsid w:val="00302690"/>
    <w:rsid w:val="00302982"/>
    <w:rsid w:val="00303418"/>
    <w:rsid w:val="00316104"/>
    <w:rsid w:val="00317237"/>
    <w:rsid w:val="00321960"/>
    <w:rsid w:val="00322E30"/>
    <w:rsid w:val="00324C04"/>
    <w:rsid w:val="003340DF"/>
    <w:rsid w:val="00334343"/>
    <w:rsid w:val="003347A0"/>
    <w:rsid w:val="00336F88"/>
    <w:rsid w:val="00340FF0"/>
    <w:rsid w:val="00341A6E"/>
    <w:rsid w:val="00342CC3"/>
    <w:rsid w:val="00343E0C"/>
    <w:rsid w:val="00344DA3"/>
    <w:rsid w:val="00350F9A"/>
    <w:rsid w:val="00351987"/>
    <w:rsid w:val="00351F4C"/>
    <w:rsid w:val="00352A64"/>
    <w:rsid w:val="0035334E"/>
    <w:rsid w:val="003557E4"/>
    <w:rsid w:val="00361A29"/>
    <w:rsid w:val="0036715B"/>
    <w:rsid w:val="00367E4A"/>
    <w:rsid w:val="00371465"/>
    <w:rsid w:val="0037414E"/>
    <w:rsid w:val="0037427E"/>
    <w:rsid w:val="00375606"/>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A0"/>
    <w:rsid w:val="003A326C"/>
    <w:rsid w:val="003A3696"/>
    <w:rsid w:val="003A42FA"/>
    <w:rsid w:val="003A5841"/>
    <w:rsid w:val="003A6755"/>
    <w:rsid w:val="003B1AA3"/>
    <w:rsid w:val="003B32B0"/>
    <w:rsid w:val="003B59D9"/>
    <w:rsid w:val="003C1EB9"/>
    <w:rsid w:val="003C3249"/>
    <w:rsid w:val="003C3EA0"/>
    <w:rsid w:val="003C419C"/>
    <w:rsid w:val="003C41EC"/>
    <w:rsid w:val="003C4942"/>
    <w:rsid w:val="003D01EF"/>
    <w:rsid w:val="003D14CC"/>
    <w:rsid w:val="003D3B34"/>
    <w:rsid w:val="003D46AE"/>
    <w:rsid w:val="003E323B"/>
    <w:rsid w:val="003E39D4"/>
    <w:rsid w:val="003E549A"/>
    <w:rsid w:val="003E5A89"/>
    <w:rsid w:val="003F0B67"/>
    <w:rsid w:val="003F1F24"/>
    <w:rsid w:val="003F536D"/>
    <w:rsid w:val="003F595E"/>
    <w:rsid w:val="003F6574"/>
    <w:rsid w:val="003F6E09"/>
    <w:rsid w:val="003F728E"/>
    <w:rsid w:val="00402EDB"/>
    <w:rsid w:val="004100FD"/>
    <w:rsid w:val="0041232A"/>
    <w:rsid w:val="004125FC"/>
    <w:rsid w:val="00412AD9"/>
    <w:rsid w:val="00415492"/>
    <w:rsid w:val="004178C8"/>
    <w:rsid w:val="00423C35"/>
    <w:rsid w:val="00425A58"/>
    <w:rsid w:val="004278D4"/>
    <w:rsid w:val="00430D45"/>
    <w:rsid w:val="00431DA3"/>
    <w:rsid w:val="00432A0C"/>
    <w:rsid w:val="00433DE5"/>
    <w:rsid w:val="00433FE8"/>
    <w:rsid w:val="00437A54"/>
    <w:rsid w:val="00442031"/>
    <w:rsid w:val="004443C8"/>
    <w:rsid w:val="0044481F"/>
    <w:rsid w:val="004454F7"/>
    <w:rsid w:val="00450079"/>
    <w:rsid w:val="004504E7"/>
    <w:rsid w:val="00450EBA"/>
    <w:rsid w:val="0045373C"/>
    <w:rsid w:val="00453C0B"/>
    <w:rsid w:val="00456071"/>
    <w:rsid w:val="00456737"/>
    <w:rsid w:val="00456A72"/>
    <w:rsid w:val="00456A79"/>
    <w:rsid w:val="00461EDE"/>
    <w:rsid w:val="004638A8"/>
    <w:rsid w:val="00470220"/>
    <w:rsid w:val="00471E78"/>
    <w:rsid w:val="0047252B"/>
    <w:rsid w:val="00472C32"/>
    <w:rsid w:val="00472D58"/>
    <w:rsid w:val="004731AE"/>
    <w:rsid w:val="00473996"/>
    <w:rsid w:val="0047592F"/>
    <w:rsid w:val="004767E9"/>
    <w:rsid w:val="00476AF1"/>
    <w:rsid w:val="00477EF4"/>
    <w:rsid w:val="004823A5"/>
    <w:rsid w:val="00484559"/>
    <w:rsid w:val="004852B6"/>
    <w:rsid w:val="004854B1"/>
    <w:rsid w:val="004876D3"/>
    <w:rsid w:val="004909BB"/>
    <w:rsid w:val="0049197F"/>
    <w:rsid w:val="00493DD9"/>
    <w:rsid w:val="00496CF3"/>
    <w:rsid w:val="00496D57"/>
    <w:rsid w:val="004A135E"/>
    <w:rsid w:val="004A373F"/>
    <w:rsid w:val="004A464E"/>
    <w:rsid w:val="004A4859"/>
    <w:rsid w:val="004B0832"/>
    <w:rsid w:val="004B1D23"/>
    <w:rsid w:val="004B5CC9"/>
    <w:rsid w:val="004B72BC"/>
    <w:rsid w:val="004C0FC4"/>
    <w:rsid w:val="004C1246"/>
    <w:rsid w:val="004C15D0"/>
    <w:rsid w:val="004C1EC2"/>
    <w:rsid w:val="004C2B6E"/>
    <w:rsid w:val="004C4F15"/>
    <w:rsid w:val="004C61B8"/>
    <w:rsid w:val="004C7700"/>
    <w:rsid w:val="004D028D"/>
    <w:rsid w:val="004D3D71"/>
    <w:rsid w:val="004D4FBD"/>
    <w:rsid w:val="004E1031"/>
    <w:rsid w:val="004E16F4"/>
    <w:rsid w:val="004E2788"/>
    <w:rsid w:val="004E28A4"/>
    <w:rsid w:val="004E3E2A"/>
    <w:rsid w:val="004E441F"/>
    <w:rsid w:val="004F0E59"/>
    <w:rsid w:val="004F1A93"/>
    <w:rsid w:val="004F27DA"/>
    <w:rsid w:val="004F29A2"/>
    <w:rsid w:val="004F2EAE"/>
    <w:rsid w:val="004F2FDA"/>
    <w:rsid w:val="004F49DE"/>
    <w:rsid w:val="004F4C83"/>
    <w:rsid w:val="004F564A"/>
    <w:rsid w:val="004F6088"/>
    <w:rsid w:val="0050055F"/>
    <w:rsid w:val="00501A8E"/>
    <w:rsid w:val="00502983"/>
    <w:rsid w:val="005045F2"/>
    <w:rsid w:val="0051102B"/>
    <w:rsid w:val="0051110B"/>
    <w:rsid w:val="00513E02"/>
    <w:rsid w:val="005141F0"/>
    <w:rsid w:val="00514727"/>
    <w:rsid w:val="0051691A"/>
    <w:rsid w:val="005216DB"/>
    <w:rsid w:val="00522BE1"/>
    <w:rsid w:val="00525134"/>
    <w:rsid w:val="00527055"/>
    <w:rsid w:val="00527860"/>
    <w:rsid w:val="005302E8"/>
    <w:rsid w:val="00537C60"/>
    <w:rsid w:val="005403BB"/>
    <w:rsid w:val="00540508"/>
    <w:rsid w:val="00541462"/>
    <w:rsid w:val="00545692"/>
    <w:rsid w:val="00547939"/>
    <w:rsid w:val="0055006E"/>
    <w:rsid w:val="005528A4"/>
    <w:rsid w:val="0055343F"/>
    <w:rsid w:val="005538B1"/>
    <w:rsid w:val="005570A3"/>
    <w:rsid w:val="00557BB6"/>
    <w:rsid w:val="005617E0"/>
    <w:rsid w:val="005618EC"/>
    <w:rsid w:val="005623D2"/>
    <w:rsid w:val="0056793D"/>
    <w:rsid w:val="00570476"/>
    <w:rsid w:val="005758B0"/>
    <w:rsid w:val="0057593B"/>
    <w:rsid w:val="005761C7"/>
    <w:rsid w:val="005761DA"/>
    <w:rsid w:val="00576B9B"/>
    <w:rsid w:val="005775A5"/>
    <w:rsid w:val="00577A94"/>
    <w:rsid w:val="00577CD6"/>
    <w:rsid w:val="00581C4B"/>
    <w:rsid w:val="005820C9"/>
    <w:rsid w:val="00582F58"/>
    <w:rsid w:val="005847C1"/>
    <w:rsid w:val="005903E6"/>
    <w:rsid w:val="005906A6"/>
    <w:rsid w:val="00590E74"/>
    <w:rsid w:val="00593B63"/>
    <w:rsid w:val="005A1F8D"/>
    <w:rsid w:val="005A6087"/>
    <w:rsid w:val="005A67BB"/>
    <w:rsid w:val="005A740E"/>
    <w:rsid w:val="005B0120"/>
    <w:rsid w:val="005B0BCC"/>
    <w:rsid w:val="005B2090"/>
    <w:rsid w:val="005B2A3B"/>
    <w:rsid w:val="005B2A9E"/>
    <w:rsid w:val="005B2AFE"/>
    <w:rsid w:val="005B39F8"/>
    <w:rsid w:val="005B3F4F"/>
    <w:rsid w:val="005C2B4E"/>
    <w:rsid w:val="005C376A"/>
    <w:rsid w:val="005C5E3B"/>
    <w:rsid w:val="005C663F"/>
    <w:rsid w:val="005C79E2"/>
    <w:rsid w:val="005D07B3"/>
    <w:rsid w:val="005D1611"/>
    <w:rsid w:val="005E0DCD"/>
    <w:rsid w:val="005E5234"/>
    <w:rsid w:val="005E7F3F"/>
    <w:rsid w:val="005F38E6"/>
    <w:rsid w:val="005F6CAA"/>
    <w:rsid w:val="00602DE5"/>
    <w:rsid w:val="0060451F"/>
    <w:rsid w:val="006049B5"/>
    <w:rsid w:val="006054BF"/>
    <w:rsid w:val="0060556C"/>
    <w:rsid w:val="00605FB9"/>
    <w:rsid w:val="006073A4"/>
    <w:rsid w:val="006077DA"/>
    <w:rsid w:val="00613495"/>
    <w:rsid w:val="006138A9"/>
    <w:rsid w:val="00616699"/>
    <w:rsid w:val="006217C9"/>
    <w:rsid w:val="006217CD"/>
    <w:rsid w:val="00622118"/>
    <w:rsid w:val="00622A7A"/>
    <w:rsid w:val="00623F3E"/>
    <w:rsid w:val="00626C25"/>
    <w:rsid w:val="00632581"/>
    <w:rsid w:val="0063404D"/>
    <w:rsid w:val="00637C57"/>
    <w:rsid w:val="00640710"/>
    <w:rsid w:val="00642967"/>
    <w:rsid w:val="00643C82"/>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28D5"/>
    <w:rsid w:val="006A3076"/>
    <w:rsid w:val="006A3B57"/>
    <w:rsid w:val="006A4BE5"/>
    <w:rsid w:val="006A55AD"/>
    <w:rsid w:val="006A65EF"/>
    <w:rsid w:val="006C492D"/>
    <w:rsid w:val="006C6369"/>
    <w:rsid w:val="006D2826"/>
    <w:rsid w:val="006D44DF"/>
    <w:rsid w:val="006D582C"/>
    <w:rsid w:val="006D6106"/>
    <w:rsid w:val="006E16EF"/>
    <w:rsid w:val="006E58B8"/>
    <w:rsid w:val="006E628F"/>
    <w:rsid w:val="006E7D08"/>
    <w:rsid w:val="006F0642"/>
    <w:rsid w:val="006F069F"/>
    <w:rsid w:val="006F0977"/>
    <w:rsid w:val="006F19A2"/>
    <w:rsid w:val="006F320A"/>
    <w:rsid w:val="006F4AF1"/>
    <w:rsid w:val="006F6C03"/>
    <w:rsid w:val="006F793B"/>
    <w:rsid w:val="006F7A1E"/>
    <w:rsid w:val="007014BE"/>
    <w:rsid w:val="00704458"/>
    <w:rsid w:val="0070677A"/>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98B"/>
    <w:rsid w:val="007543DE"/>
    <w:rsid w:val="007566F0"/>
    <w:rsid w:val="00760780"/>
    <w:rsid w:val="00763624"/>
    <w:rsid w:val="0076441E"/>
    <w:rsid w:val="0076657F"/>
    <w:rsid w:val="00774B22"/>
    <w:rsid w:val="00777A09"/>
    <w:rsid w:val="007837F3"/>
    <w:rsid w:val="007904A7"/>
    <w:rsid w:val="00794C4E"/>
    <w:rsid w:val="007963A2"/>
    <w:rsid w:val="007A6F05"/>
    <w:rsid w:val="007B097B"/>
    <w:rsid w:val="007B6642"/>
    <w:rsid w:val="007C5CDC"/>
    <w:rsid w:val="007C6DEF"/>
    <w:rsid w:val="007C7C36"/>
    <w:rsid w:val="007D1C46"/>
    <w:rsid w:val="007D340E"/>
    <w:rsid w:val="007D5A8A"/>
    <w:rsid w:val="007D62CA"/>
    <w:rsid w:val="007D66C2"/>
    <w:rsid w:val="007D765B"/>
    <w:rsid w:val="007E0BFD"/>
    <w:rsid w:val="007E158B"/>
    <w:rsid w:val="007E20CA"/>
    <w:rsid w:val="007F042D"/>
    <w:rsid w:val="007F0737"/>
    <w:rsid w:val="007F0940"/>
    <w:rsid w:val="007F19AC"/>
    <w:rsid w:val="007F1E62"/>
    <w:rsid w:val="007F24F6"/>
    <w:rsid w:val="007F2A0D"/>
    <w:rsid w:val="007F2A7E"/>
    <w:rsid w:val="007F552B"/>
    <w:rsid w:val="007F63EC"/>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477F"/>
    <w:rsid w:val="00837152"/>
    <w:rsid w:val="00837596"/>
    <w:rsid w:val="00840886"/>
    <w:rsid w:val="008408A0"/>
    <w:rsid w:val="00846E88"/>
    <w:rsid w:val="008501A5"/>
    <w:rsid w:val="00854ADE"/>
    <w:rsid w:val="008576F0"/>
    <w:rsid w:val="00857C89"/>
    <w:rsid w:val="00857FE1"/>
    <w:rsid w:val="008611F2"/>
    <w:rsid w:val="0086125A"/>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A0590"/>
    <w:rsid w:val="008B063A"/>
    <w:rsid w:val="008B066F"/>
    <w:rsid w:val="008B2878"/>
    <w:rsid w:val="008B2A80"/>
    <w:rsid w:val="008B4122"/>
    <w:rsid w:val="008B534E"/>
    <w:rsid w:val="008B536E"/>
    <w:rsid w:val="008B5F79"/>
    <w:rsid w:val="008B61CE"/>
    <w:rsid w:val="008C2242"/>
    <w:rsid w:val="008C2FFC"/>
    <w:rsid w:val="008C3D85"/>
    <w:rsid w:val="008D2512"/>
    <w:rsid w:val="008D3423"/>
    <w:rsid w:val="008D3770"/>
    <w:rsid w:val="008D416F"/>
    <w:rsid w:val="008D6580"/>
    <w:rsid w:val="008E1E2A"/>
    <w:rsid w:val="008E277B"/>
    <w:rsid w:val="008E3748"/>
    <w:rsid w:val="008E45DE"/>
    <w:rsid w:val="008E765D"/>
    <w:rsid w:val="008F733C"/>
    <w:rsid w:val="00904292"/>
    <w:rsid w:val="00910626"/>
    <w:rsid w:val="00910AC9"/>
    <w:rsid w:val="0091236B"/>
    <w:rsid w:val="009135EF"/>
    <w:rsid w:val="009150AA"/>
    <w:rsid w:val="009167EA"/>
    <w:rsid w:val="00916E26"/>
    <w:rsid w:val="00917CF5"/>
    <w:rsid w:val="009203AD"/>
    <w:rsid w:val="00920BA7"/>
    <w:rsid w:val="00921D50"/>
    <w:rsid w:val="00923ABF"/>
    <w:rsid w:val="009257CF"/>
    <w:rsid w:val="00926D34"/>
    <w:rsid w:val="00926E93"/>
    <w:rsid w:val="00927FAF"/>
    <w:rsid w:val="0093066E"/>
    <w:rsid w:val="00930C66"/>
    <w:rsid w:val="00933AD4"/>
    <w:rsid w:val="00935D37"/>
    <w:rsid w:val="00936389"/>
    <w:rsid w:val="00940633"/>
    <w:rsid w:val="009413D6"/>
    <w:rsid w:val="009418C7"/>
    <w:rsid w:val="00942DC2"/>
    <w:rsid w:val="009433EF"/>
    <w:rsid w:val="00943770"/>
    <w:rsid w:val="0094465F"/>
    <w:rsid w:val="00947975"/>
    <w:rsid w:val="009503FD"/>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2B42"/>
    <w:rsid w:val="00983562"/>
    <w:rsid w:val="00985E2D"/>
    <w:rsid w:val="00990379"/>
    <w:rsid w:val="0099164F"/>
    <w:rsid w:val="00994467"/>
    <w:rsid w:val="00994538"/>
    <w:rsid w:val="00995057"/>
    <w:rsid w:val="0099782D"/>
    <w:rsid w:val="00997D7A"/>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B7A"/>
    <w:rsid w:val="009D417C"/>
    <w:rsid w:val="009D455E"/>
    <w:rsid w:val="009E41F1"/>
    <w:rsid w:val="009E6969"/>
    <w:rsid w:val="009F13D4"/>
    <w:rsid w:val="009F14F1"/>
    <w:rsid w:val="009F1CFB"/>
    <w:rsid w:val="009F1DFF"/>
    <w:rsid w:val="009F35D0"/>
    <w:rsid w:val="009F3B9B"/>
    <w:rsid w:val="009F5A1E"/>
    <w:rsid w:val="009F69BD"/>
    <w:rsid w:val="009F69DB"/>
    <w:rsid w:val="009F6E0B"/>
    <w:rsid w:val="00A00762"/>
    <w:rsid w:val="00A0130C"/>
    <w:rsid w:val="00A013CD"/>
    <w:rsid w:val="00A027F4"/>
    <w:rsid w:val="00A0337F"/>
    <w:rsid w:val="00A055DB"/>
    <w:rsid w:val="00A0595F"/>
    <w:rsid w:val="00A11CAD"/>
    <w:rsid w:val="00A12557"/>
    <w:rsid w:val="00A12B15"/>
    <w:rsid w:val="00A1338D"/>
    <w:rsid w:val="00A14C24"/>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2776D"/>
    <w:rsid w:val="00A3282B"/>
    <w:rsid w:val="00A3667B"/>
    <w:rsid w:val="00A41CDE"/>
    <w:rsid w:val="00A42678"/>
    <w:rsid w:val="00A44782"/>
    <w:rsid w:val="00A51056"/>
    <w:rsid w:val="00A52ADA"/>
    <w:rsid w:val="00A54A96"/>
    <w:rsid w:val="00A54C2D"/>
    <w:rsid w:val="00A55F01"/>
    <w:rsid w:val="00A5779D"/>
    <w:rsid w:val="00A62053"/>
    <w:rsid w:val="00A66B95"/>
    <w:rsid w:val="00A67E61"/>
    <w:rsid w:val="00A746B2"/>
    <w:rsid w:val="00A74FC4"/>
    <w:rsid w:val="00A8034A"/>
    <w:rsid w:val="00A81344"/>
    <w:rsid w:val="00A8144C"/>
    <w:rsid w:val="00A82198"/>
    <w:rsid w:val="00A85729"/>
    <w:rsid w:val="00A869B9"/>
    <w:rsid w:val="00A871E1"/>
    <w:rsid w:val="00A872AA"/>
    <w:rsid w:val="00A87303"/>
    <w:rsid w:val="00A925C8"/>
    <w:rsid w:val="00A93C26"/>
    <w:rsid w:val="00A9486C"/>
    <w:rsid w:val="00A94FB8"/>
    <w:rsid w:val="00A96790"/>
    <w:rsid w:val="00AA07BD"/>
    <w:rsid w:val="00AA3212"/>
    <w:rsid w:val="00AA3545"/>
    <w:rsid w:val="00AA4BD1"/>
    <w:rsid w:val="00AB27A7"/>
    <w:rsid w:val="00AB301E"/>
    <w:rsid w:val="00AB38D9"/>
    <w:rsid w:val="00AB7DAC"/>
    <w:rsid w:val="00AC1974"/>
    <w:rsid w:val="00AC2132"/>
    <w:rsid w:val="00AC4D0F"/>
    <w:rsid w:val="00AC6193"/>
    <w:rsid w:val="00AC6305"/>
    <w:rsid w:val="00AC685E"/>
    <w:rsid w:val="00AD04B0"/>
    <w:rsid w:val="00AD0907"/>
    <w:rsid w:val="00AD29ED"/>
    <w:rsid w:val="00AD5212"/>
    <w:rsid w:val="00AD57D5"/>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6933"/>
    <w:rsid w:val="00AF7027"/>
    <w:rsid w:val="00B00D15"/>
    <w:rsid w:val="00B041F1"/>
    <w:rsid w:val="00B05A19"/>
    <w:rsid w:val="00B05C1E"/>
    <w:rsid w:val="00B0602B"/>
    <w:rsid w:val="00B065B9"/>
    <w:rsid w:val="00B07A9F"/>
    <w:rsid w:val="00B12051"/>
    <w:rsid w:val="00B1350C"/>
    <w:rsid w:val="00B13789"/>
    <w:rsid w:val="00B15D33"/>
    <w:rsid w:val="00B162C3"/>
    <w:rsid w:val="00B22EA7"/>
    <w:rsid w:val="00B246E2"/>
    <w:rsid w:val="00B269DB"/>
    <w:rsid w:val="00B332D7"/>
    <w:rsid w:val="00B3342A"/>
    <w:rsid w:val="00B40DCF"/>
    <w:rsid w:val="00B41574"/>
    <w:rsid w:val="00B43C7B"/>
    <w:rsid w:val="00B4489A"/>
    <w:rsid w:val="00B4656E"/>
    <w:rsid w:val="00B47AB4"/>
    <w:rsid w:val="00B509ED"/>
    <w:rsid w:val="00B5388B"/>
    <w:rsid w:val="00B54162"/>
    <w:rsid w:val="00B542D3"/>
    <w:rsid w:val="00B560B0"/>
    <w:rsid w:val="00B56A1E"/>
    <w:rsid w:val="00B57284"/>
    <w:rsid w:val="00B6035B"/>
    <w:rsid w:val="00B64E58"/>
    <w:rsid w:val="00B666ED"/>
    <w:rsid w:val="00B70DED"/>
    <w:rsid w:val="00B7317D"/>
    <w:rsid w:val="00B73533"/>
    <w:rsid w:val="00B73E35"/>
    <w:rsid w:val="00B76556"/>
    <w:rsid w:val="00B836D5"/>
    <w:rsid w:val="00B840AB"/>
    <w:rsid w:val="00B84FE0"/>
    <w:rsid w:val="00B90C4D"/>
    <w:rsid w:val="00B92C79"/>
    <w:rsid w:val="00B952EB"/>
    <w:rsid w:val="00B96270"/>
    <w:rsid w:val="00B97680"/>
    <w:rsid w:val="00BA069E"/>
    <w:rsid w:val="00BA0EAF"/>
    <w:rsid w:val="00BA12FD"/>
    <w:rsid w:val="00BA4B2C"/>
    <w:rsid w:val="00BA5DE0"/>
    <w:rsid w:val="00BA69BB"/>
    <w:rsid w:val="00BA7956"/>
    <w:rsid w:val="00BA7B67"/>
    <w:rsid w:val="00BB0BA8"/>
    <w:rsid w:val="00BB143A"/>
    <w:rsid w:val="00BB63BE"/>
    <w:rsid w:val="00BB77ED"/>
    <w:rsid w:val="00BC07D9"/>
    <w:rsid w:val="00BC0F68"/>
    <w:rsid w:val="00BC4E10"/>
    <w:rsid w:val="00BC5ACB"/>
    <w:rsid w:val="00BD0A62"/>
    <w:rsid w:val="00BD0B0A"/>
    <w:rsid w:val="00BD156F"/>
    <w:rsid w:val="00BD1AAA"/>
    <w:rsid w:val="00BD3403"/>
    <w:rsid w:val="00BD3778"/>
    <w:rsid w:val="00BD384E"/>
    <w:rsid w:val="00BD6CB8"/>
    <w:rsid w:val="00BE03FB"/>
    <w:rsid w:val="00BE1A66"/>
    <w:rsid w:val="00BE25B8"/>
    <w:rsid w:val="00BE472B"/>
    <w:rsid w:val="00BE5150"/>
    <w:rsid w:val="00BE5638"/>
    <w:rsid w:val="00BF04ED"/>
    <w:rsid w:val="00BF37DC"/>
    <w:rsid w:val="00BF60EE"/>
    <w:rsid w:val="00BF7550"/>
    <w:rsid w:val="00C0138E"/>
    <w:rsid w:val="00C023A4"/>
    <w:rsid w:val="00C03B39"/>
    <w:rsid w:val="00C03DAB"/>
    <w:rsid w:val="00C0403E"/>
    <w:rsid w:val="00C05D5F"/>
    <w:rsid w:val="00C062CC"/>
    <w:rsid w:val="00C06C13"/>
    <w:rsid w:val="00C076E1"/>
    <w:rsid w:val="00C10609"/>
    <w:rsid w:val="00C1296E"/>
    <w:rsid w:val="00C168B8"/>
    <w:rsid w:val="00C16B94"/>
    <w:rsid w:val="00C2004B"/>
    <w:rsid w:val="00C22AFA"/>
    <w:rsid w:val="00C24A34"/>
    <w:rsid w:val="00C275DE"/>
    <w:rsid w:val="00C344E7"/>
    <w:rsid w:val="00C34C2B"/>
    <w:rsid w:val="00C471EE"/>
    <w:rsid w:val="00C5090D"/>
    <w:rsid w:val="00C5138C"/>
    <w:rsid w:val="00C516A1"/>
    <w:rsid w:val="00C531FF"/>
    <w:rsid w:val="00C53663"/>
    <w:rsid w:val="00C543E3"/>
    <w:rsid w:val="00C54463"/>
    <w:rsid w:val="00C625FA"/>
    <w:rsid w:val="00C644C7"/>
    <w:rsid w:val="00C659D0"/>
    <w:rsid w:val="00C65F9B"/>
    <w:rsid w:val="00C66A8C"/>
    <w:rsid w:val="00C67DA4"/>
    <w:rsid w:val="00C70168"/>
    <w:rsid w:val="00C70F21"/>
    <w:rsid w:val="00C71935"/>
    <w:rsid w:val="00C72875"/>
    <w:rsid w:val="00C72993"/>
    <w:rsid w:val="00C757DA"/>
    <w:rsid w:val="00C77A95"/>
    <w:rsid w:val="00C80569"/>
    <w:rsid w:val="00C812E5"/>
    <w:rsid w:val="00C81A60"/>
    <w:rsid w:val="00C82864"/>
    <w:rsid w:val="00C86D95"/>
    <w:rsid w:val="00C903C3"/>
    <w:rsid w:val="00C9086C"/>
    <w:rsid w:val="00C91FF9"/>
    <w:rsid w:val="00C92F43"/>
    <w:rsid w:val="00C944E5"/>
    <w:rsid w:val="00C96FC0"/>
    <w:rsid w:val="00CA30D7"/>
    <w:rsid w:val="00CA4F90"/>
    <w:rsid w:val="00CB3AE8"/>
    <w:rsid w:val="00CB3EA3"/>
    <w:rsid w:val="00CB5D2C"/>
    <w:rsid w:val="00CC14E4"/>
    <w:rsid w:val="00CC2443"/>
    <w:rsid w:val="00CC33B5"/>
    <w:rsid w:val="00CD1675"/>
    <w:rsid w:val="00CD399D"/>
    <w:rsid w:val="00CD4642"/>
    <w:rsid w:val="00CD4F82"/>
    <w:rsid w:val="00CD5308"/>
    <w:rsid w:val="00CE2266"/>
    <w:rsid w:val="00CE5E6E"/>
    <w:rsid w:val="00CE618F"/>
    <w:rsid w:val="00CE6508"/>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3737D"/>
    <w:rsid w:val="00D37406"/>
    <w:rsid w:val="00D377BF"/>
    <w:rsid w:val="00D4207E"/>
    <w:rsid w:val="00D44386"/>
    <w:rsid w:val="00D444F3"/>
    <w:rsid w:val="00D4554B"/>
    <w:rsid w:val="00D530AF"/>
    <w:rsid w:val="00D54B07"/>
    <w:rsid w:val="00D55776"/>
    <w:rsid w:val="00D60772"/>
    <w:rsid w:val="00D60B47"/>
    <w:rsid w:val="00D616FD"/>
    <w:rsid w:val="00D6281A"/>
    <w:rsid w:val="00D719F3"/>
    <w:rsid w:val="00D721B4"/>
    <w:rsid w:val="00D74F18"/>
    <w:rsid w:val="00D81C3D"/>
    <w:rsid w:val="00D82CD2"/>
    <w:rsid w:val="00D83463"/>
    <w:rsid w:val="00D83650"/>
    <w:rsid w:val="00D87EE7"/>
    <w:rsid w:val="00D91482"/>
    <w:rsid w:val="00D9267E"/>
    <w:rsid w:val="00D92D78"/>
    <w:rsid w:val="00D932EE"/>
    <w:rsid w:val="00D94B63"/>
    <w:rsid w:val="00D94EA0"/>
    <w:rsid w:val="00D96622"/>
    <w:rsid w:val="00D9708A"/>
    <w:rsid w:val="00D97AB1"/>
    <w:rsid w:val="00DA1925"/>
    <w:rsid w:val="00DA35CA"/>
    <w:rsid w:val="00DA70FF"/>
    <w:rsid w:val="00DB0CCF"/>
    <w:rsid w:val="00DB3818"/>
    <w:rsid w:val="00DB4518"/>
    <w:rsid w:val="00DB6B93"/>
    <w:rsid w:val="00DB6C2C"/>
    <w:rsid w:val="00DC0A4B"/>
    <w:rsid w:val="00DC0E9B"/>
    <w:rsid w:val="00DC21CC"/>
    <w:rsid w:val="00DC73F9"/>
    <w:rsid w:val="00DC7CCD"/>
    <w:rsid w:val="00DD19B7"/>
    <w:rsid w:val="00DD22BC"/>
    <w:rsid w:val="00DE279C"/>
    <w:rsid w:val="00DE52B4"/>
    <w:rsid w:val="00DF14B1"/>
    <w:rsid w:val="00DF1A59"/>
    <w:rsid w:val="00DF35B5"/>
    <w:rsid w:val="00DF5F69"/>
    <w:rsid w:val="00DF761C"/>
    <w:rsid w:val="00E0152C"/>
    <w:rsid w:val="00E05300"/>
    <w:rsid w:val="00E06B2D"/>
    <w:rsid w:val="00E06E06"/>
    <w:rsid w:val="00E108C6"/>
    <w:rsid w:val="00E11FB2"/>
    <w:rsid w:val="00E12664"/>
    <w:rsid w:val="00E1274D"/>
    <w:rsid w:val="00E13203"/>
    <w:rsid w:val="00E135BE"/>
    <w:rsid w:val="00E13CA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2506"/>
    <w:rsid w:val="00E63F89"/>
    <w:rsid w:val="00E64BFD"/>
    <w:rsid w:val="00E64C4D"/>
    <w:rsid w:val="00E64EBF"/>
    <w:rsid w:val="00E67E4F"/>
    <w:rsid w:val="00E70383"/>
    <w:rsid w:val="00E709DB"/>
    <w:rsid w:val="00E70F83"/>
    <w:rsid w:val="00E75B4B"/>
    <w:rsid w:val="00E8016B"/>
    <w:rsid w:val="00E80617"/>
    <w:rsid w:val="00E8163D"/>
    <w:rsid w:val="00E85B61"/>
    <w:rsid w:val="00E87088"/>
    <w:rsid w:val="00E941F7"/>
    <w:rsid w:val="00E95E66"/>
    <w:rsid w:val="00E966C3"/>
    <w:rsid w:val="00E97D6F"/>
    <w:rsid w:val="00E97EB0"/>
    <w:rsid w:val="00EA42FC"/>
    <w:rsid w:val="00EA5D2D"/>
    <w:rsid w:val="00EB67DA"/>
    <w:rsid w:val="00EC29B6"/>
    <w:rsid w:val="00EC6399"/>
    <w:rsid w:val="00EC7B6C"/>
    <w:rsid w:val="00ED00C1"/>
    <w:rsid w:val="00ED059D"/>
    <w:rsid w:val="00ED11DD"/>
    <w:rsid w:val="00ED3579"/>
    <w:rsid w:val="00ED36C0"/>
    <w:rsid w:val="00ED64EC"/>
    <w:rsid w:val="00ED6EE5"/>
    <w:rsid w:val="00ED7EF1"/>
    <w:rsid w:val="00EE610D"/>
    <w:rsid w:val="00EE6A58"/>
    <w:rsid w:val="00EF59D3"/>
    <w:rsid w:val="00EF7BA0"/>
    <w:rsid w:val="00F00288"/>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79AA"/>
    <w:rsid w:val="00F44761"/>
    <w:rsid w:val="00F46AB3"/>
    <w:rsid w:val="00F474B2"/>
    <w:rsid w:val="00F50369"/>
    <w:rsid w:val="00F50692"/>
    <w:rsid w:val="00F5173D"/>
    <w:rsid w:val="00F52276"/>
    <w:rsid w:val="00F565B8"/>
    <w:rsid w:val="00F575A7"/>
    <w:rsid w:val="00F60831"/>
    <w:rsid w:val="00F65AD3"/>
    <w:rsid w:val="00F70531"/>
    <w:rsid w:val="00F71128"/>
    <w:rsid w:val="00F71E53"/>
    <w:rsid w:val="00F72EFC"/>
    <w:rsid w:val="00F768AB"/>
    <w:rsid w:val="00F76A08"/>
    <w:rsid w:val="00F81D9A"/>
    <w:rsid w:val="00F8383C"/>
    <w:rsid w:val="00F85DCD"/>
    <w:rsid w:val="00F875D2"/>
    <w:rsid w:val="00F90490"/>
    <w:rsid w:val="00F93577"/>
    <w:rsid w:val="00F94AE4"/>
    <w:rsid w:val="00F97389"/>
    <w:rsid w:val="00F976AC"/>
    <w:rsid w:val="00F97B09"/>
    <w:rsid w:val="00FA12AD"/>
    <w:rsid w:val="00FA1C85"/>
    <w:rsid w:val="00FA3864"/>
    <w:rsid w:val="00FA43C3"/>
    <w:rsid w:val="00FA48E5"/>
    <w:rsid w:val="00FA6964"/>
    <w:rsid w:val="00FA6D1C"/>
    <w:rsid w:val="00FB19A9"/>
    <w:rsid w:val="00FC097D"/>
    <w:rsid w:val="00FC0A54"/>
    <w:rsid w:val="00FC2F2E"/>
    <w:rsid w:val="00FC3A41"/>
    <w:rsid w:val="00FD314F"/>
    <w:rsid w:val="00FD3F68"/>
    <w:rsid w:val="00FD6099"/>
    <w:rsid w:val="00FD668C"/>
    <w:rsid w:val="00FD6BBF"/>
    <w:rsid w:val="00FD707C"/>
    <w:rsid w:val="00FE51BD"/>
    <w:rsid w:val="00FE5DC3"/>
    <w:rsid w:val="00FF1779"/>
    <w:rsid w:val="00FF1981"/>
    <w:rsid w:val="00FF2340"/>
    <w:rsid w:val="00FF60C7"/>
    <w:rsid w:val="00FF7392"/>
    <w:rsid w:val="011B684E"/>
    <w:rsid w:val="023B43DC"/>
    <w:rsid w:val="047B7F85"/>
    <w:rsid w:val="065A7B9F"/>
    <w:rsid w:val="06B40B4C"/>
    <w:rsid w:val="074D26E8"/>
    <w:rsid w:val="0D4E17CF"/>
    <w:rsid w:val="0EAA5959"/>
    <w:rsid w:val="10AA3895"/>
    <w:rsid w:val="110F26B1"/>
    <w:rsid w:val="11FF5384"/>
    <w:rsid w:val="13404ED0"/>
    <w:rsid w:val="13B753DA"/>
    <w:rsid w:val="17785A4C"/>
    <w:rsid w:val="178125D4"/>
    <w:rsid w:val="17C25BF6"/>
    <w:rsid w:val="1A7D41CF"/>
    <w:rsid w:val="1FD3237E"/>
    <w:rsid w:val="21CE0EBF"/>
    <w:rsid w:val="24485B15"/>
    <w:rsid w:val="2E0E0C0A"/>
    <w:rsid w:val="344E47FD"/>
    <w:rsid w:val="3BDF852A"/>
    <w:rsid w:val="3F4F130B"/>
    <w:rsid w:val="456E4695"/>
    <w:rsid w:val="4A456A7E"/>
    <w:rsid w:val="4B7E08B8"/>
    <w:rsid w:val="4B835AD7"/>
    <w:rsid w:val="4BB12688"/>
    <w:rsid w:val="51650C56"/>
    <w:rsid w:val="52B91C49"/>
    <w:rsid w:val="52FB60E2"/>
    <w:rsid w:val="54C072E0"/>
    <w:rsid w:val="55FF0CB9"/>
    <w:rsid w:val="56F82C2E"/>
    <w:rsid w:val="572E7FC1"/>
    <w:rsid w:val="58E20867"/>
    <w:rsid w:val="5A4F0CE2"/>
    <w:rsid w:val="5BAE3879"/>
    <w:rsid w:val="5F75AD54"/>
    <w:rsid w:val="60800219"/>
    <w:rsid w:val="61AB38B0"/>
    <w:rsid w:val="64B86B45"/>
    <w:rsid w:val="6AD6EB88"/>
    <w:rsid w:val="6DBEB9E7"/>
    <w:rsid w:val="6F2C465B"/>
    <w:rsid w:val="716FFBB4"/>
    <w:rsid w:val="757F9C4D"/>
    <w:rsid w:val="76E70E24"/>
    <w:rsid w:val="777BB266"/>
    <w:rsid w:val="79E30EE8"/>
    <w:rsid w:val="7A7D6D6E"/>
    <w:rsid w:val="7CB969FF"/>
    <w:rsid w:val="7D164783"/>
    <w:rsid w:val="7E75A183"/>
    <w:rsid w:val="7E960D71"/>
    <w:rsid w:val="9F8E8F55"/>
    <w:rsid w:val="B9FF7E53"/>
    <w:rsid w:val="BA6F7308"/>
    <w:rsid w:val="BEEA3444"/>
    <w:rsid w:val="BF77ED35"/>
    <w:rsid w:val="DBFBAB7E"/>
    <w:rsid w:val="DFFFA582"/>
    <w:rsid w:val="EBFF5EDE"/>
    <w:rsid w:val="F37C80F1"/>
    <w:rsid w:val="F6E3A36C"/>
    <w:rsid w:val="F75F9695"/>
    <w:rsid w:val="F8FCE44E"/>
    <w:rsid w:val="FB4196F3"/>
    <w:rsid w:val="FBFD9CD8"/>
    <w:rsid w:val="FCFCB4B0"/>
    <w:rsid w:val="FD6365D2"/>
    <w:rsid w:val="FD739B47"/>
    <w:rsid w:val="FDB97C47"/>
    <w:rsid w:val="FDCD53DB"/>
    <w:rsid w:val="FF7B3A5B"/>
    <w:rsid w:val="FFD3CA9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14">
    <w:name w:val="Default Paragraph Font"/>
    <w:semiHidden/>
    <w:uiPriority w:val="0"/>
  </w:style>
  <w:style w:type="table" w:default="1" w:styleId="12">
    <w:name w:val="Normal Table"/>
    <w:semiHidden/>
    <w:uiPriority w:val="0"/>
    <w:tblPr>
      <w:tblStyle w:val="12"/>
      <w:tblLayout w:type="fixed"/>
      <w:tblCellMar>
        <w:top w:w="0" w:type="dxa"/>
        <w:left w:w="108" w:type="dxa"/>
        <w:bottom w:w="0" w:type="dxa"/>
        <w:right w:w="108" w:type="dxa"/>
      </w:tblCellMar>
    </w:tblPr>
  </w:style>
  <w:style w:type="paragraph" w:styleId="2">
    <w:name w:val="Document Map"/>
    <w:basedOn w:val="1"/>
    <w:semiHidden/>
    <w:uiPriority w:val="0"/>
    <w:pPr>
      <w:shd w:val="clear" w:color="auto" w:fill="000080"/>
    </w:pPr>
  </w:style>
  <w:style w:type="paragraph" w:styleId="3">
    <w:name w:val="Body Text"/>
    <w:basedOn w:val="1"/>
    <w:next w:val="4"/>
    <w:qFormat/>
    <w:uiPriority w:val="0"/>
    <w:pPr>
      <w:spacing w:after="120"/>
    </w:pPr>
    <w:rPr>
      <w:rFonts w:ascii="Times New Roman" w:hAnsi="Times New Roman" w:eastAsia="宋体" w:cs="Times New Roman"/>
      <w:szCs w:val="24"/>
      <w:lang w:bidi="ar-SA"/>
    </w:rPr>
  </w:style>
  <w:style w:type="paragraph" w:styleId="4">
    <w:name w:val="Normal (Web)"/>
    <w:basedOn w:val="1"/>
    <w:next w:val="5"/>
    <w:qFormat/>
    <w:uiPriority w:val="0"/>
    <w:pPr>
      <w:spacing w:beforeAutospacing="1" w:afterAutospacing="1"/>
      <w:jc w:val="left"/>
    </w:pPr>
    <w:rPr>
      <w:rFonts w:ascii="Times New Roman" w:hAnsi="Times New Roman" w:eastAsia="宋体" w:cs="Times New Roman"/>
      <w:kern w:val="0"/>
      <w:sz w:val="24"/>
      <w:szCs w:val="28"/>
      <w:lang w:bidi="mn-Mong-CN"/>
    </w:rPr>
  </w:style>
  <w:style w:type="paragraph" w:styleId="5">
    <w:name w:val="Body Text First Indent"/>
    <w:basedOn w:val="3"/>
    <w:next w:val="6"/>
    <w:qFormat/>
    <w:uiPriority w:val="0"/>
    <w:pPr>
      <w:suppressAutoHyphens/>
      <w:autoSpaceDE/>
      <w:autoSpaceDN/>
      <w:bidi w:val="0"/>
      <w:spacing w:before="0" w:after="120" w:line="276" w:lineRule="auto"/>
      <w:ind w:left="0" w:firstLine="420" w:firstLineChars="100"/>
      <w:jc w:val="both"/>
    </w:pPr>
    <w:rPr>
      <w:rFonts w:ascii="等线" w:hAnsi="等线" w:eastAsia="等线" w:cs="Times New Roman"/>
      <w:color w:val="auto"/>
      <w:kern w:val="2"/>
      <w:sz w:val="21"/>
      <w:szCs w:val="22"/>
      <w:lang w:val="en-US" w:bidi="ar-SA"/>
    </w:rPr>
  </w:style>
  <w:style w:type="paragraph" w:styleId="6">
    <w:name w:val="Body Text First Indent 2"/>
    <w:basedOn w:val="1"/>
    <w:next w:val="1"/>
    <w:qFormat/>
    <w:uiPriority w:val="0"/>
    <w:pPr>
      <w:spacing w:after="0"/>
      <w:ind w:firstLine="420" w:firstLineChars="200"/>
    </w:pPr>
  </w:style>
  <w:style w:type="paragraph" w:styleId="7">
    <w:name w:val="Body Text Indent"/>
    <w:basedOn w:val="1"/>
    <w:qFormat/>
    <w:uiPriority w:val="0"/>
    <w:pPr>
      <w:spacing w:after="120"/>
      <w:ind w:left="420" w:leftChars="200"/>
    </w:pPr>
    <w:rPr>
      <w:rFonts w:ascii="Times New Roman" w:hAnsi="Times New Roman" w:eastAsia="宋体" w:cs="Times New Roman"/>
      <w:szCs w:val="24"/>
      <w:lang w:bidi="ar-SA"/>
    </w:rPr>
  </w:style>
  <w:style w:type="paragraph" w:styleId="8">
    <w:name w:val="Date"/>
    <w:basedOn w:val="1"/>
    <w:next w:val="1"/>
    <w:link w:val="16"/>
    <w:uiPriority w:val="0"/>
    <w:pPr>
      <w:ind w:left="100" w:leftChars="2500"/>
    </w:pPr>
    <w:rPr>
      <w:rFonts w:ascii="仿宋_GB2312" w:eastAsia="仿宋_GB2312"/>
      <w:sz w:val="32"/>
    </w:rPr>
  </w:style>
  <w:style w:type="paragraph" w:styleId="9">
    <w:name w:val="Balloon Text"/>
    <w:basedOn w:val="1"/>
    <w:link w:val="17"/>
    <w:semiHidden/>
    <w:uiPriority w:val="0"/>
    <w:rPr>
      <w:sz w:val="18"/>
      <w:szCs w:val="18"/>
    </w:rPr>
  </w:style>
  <w:style w:type="paragraph" w:styleId="10">
    <w:name w:val="footer"/>
    <w:basedOn w:val="1"/>
    <w:link w:val="18"/>
    <w:uiPriority w:val="0"/>
    <w:pPr>
      <w:tabs>
        <w:tab w:val="center" w:pos="4153"/>
        <w:tab w:val="right" w:pos="8306"/>
      </w:tabs>
      <w:snapToGrid w:val="0"/>
      <w:jc w:val="left"/>
    </w:pPr>
    <w:rPr>
      <w:sz w:val="18"/>
      <w:szCs w:val="18"/>
    </w:rPr>
  </w:style>
  <w:style w:type="paragraph" w:styleId="11">
    <w:name w:val="header"/>
    <w:basedOn w:val="1"/>
    <w:link w:val="19"/>
    <w:uiPriority w:val="0"/>
    <w:pPr>
      <w:pBdr>
        <w:bottom w:val="single" w:color="auto" w:sz="6" w:space="1"/>
      </w:pBdr>
      <w:tabs>
        <w:tab w:val="center" w:pos="4153"/>
        <w:tab w:val="right" w:pos="8306"/>
      </w:tabs>
      <w:snapToGrid w:val="0"/>
      <w:jc w:val="center"/>
    </w:pPr>
    <w:rPr>
      <w:sz w:val="18"/>
      <w:szCs w:val="18"/>
    </w:rPr>
  </w:style>
  <w:style w:type="table" w:styleId="13">
    <w:name w:val="Table Grid"/>
    <w:basedOn w:val="12"/>
    <w:uiPriority w:val="0"/>
    <w:pPr>
      <w:widowControl w:val="0"/>
      <w:jc w:val="both"/>
    </w:pPr>
    <w:tblPr>
      <w:tblStyle w:val="12"/>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5">
    <w:name w:val="page number"/>
    <w:basedOn w:val="14"/>
    <w:uiPriority w:val="0"/>
  </w:style>
  <w:style w:type="character" w:customStyle="1" w:styleId="16">
    <w:name w:val=" Char Char2"/>
    <w:basedOn w:val="14"/>
    <w:link w:val="8"/>
    <w:uiPriority w:val="0"/>
    <w:rPr>
      <w:rFonts w:ascii="仿宋_GB2312" w:hAnsi="Times New Roman" w:eastAsia="仿宋_GB2312" w:cs="Times New Roman"/>
      <w:kern w:val="2"/>
      <w:sz w:val="32"/>
      <w:szCs w:val="24"/>
      <w:lang w:bidi="ar-SA"/>
    </w:rPr>
  </w:style>
  <w:style w:type="character" w:customStyle="1" w:styleId="17">
    <w:name w:val="批注框文本 Char"/>
    <w:link w:val="9"/>
    <w:uiPriority w:val="0"/>
    <w:rPr>
      <w:rFonts w:ascii="Times New Roman" w:hAnsi="Times New Roman" w:eastAsia="宋体" w:cs="Times New Roman"/>
      <w:sz w:val="18"/>
      <w:szCs w:val="18"/>
    </w:rPr>
  </w:style>
  <w:style w:type="character" w:customStyle="1" w:styleId="18">
    <w:name w:val=" Char Char"/>
    <w:basedOn w:val="14"/>
    <w:link w:val="10"/>
    <w:semiHidden/>
    <w:uiPriority w:val="99"/>
    <w:rPr>
      <w:rFonts w:ascii="Times New Roman" w:hAnsi="Times New Roman" w:eastAsia="宋体" w:cs="Times New Roman"/>
      <w:kern w:val="2"/>
      <w:sz w:val="18"/>
      <w:szCs w:val="22"/>
    </w:rPr>
  </w:style>
  <w:style w:type="character" w:customStyle="1" w:styleId="19">
    <w:name w:val=" Char Char1"/>
    <w:basedOn w:val="14"/>
    <w:link w:val="11"/>
    <w:semiHidden/>
    <w:uiPriority w:val="99"/>
    <w:rPr>
      <w:rFonts w:ascii="Times New Roman" w:hAnsi="Times New Roman" w:eastAsia="宋体" w:cs="Times New Roman"/>
      <w:kern w:val="2"/>
      <w:sz w:val="18"/>
      <w:szCs w:val="22"/>
    </w:rPr>
  </w:style>
  <w:style w:type="character" w:customStyle="1" w:styleId="20">
    <w:name w:val="页脚 Char"/>
    <w:uiPriority w:val="99"/>
    <w:rPr>
      <w:rFonts w:ascii="Times New Roman" w:hAnsi="Times New Roman" w:eastAsia="宋体" w:cs="Times New Roman"/>
      <w:kern w:val="2"/>
      <w:sz w:val="18"/>
      <w:szCs w:val="18"/>
    </w:rPr>
  </w:style>
  <w:style w:type="character" w:customStyle="1" w:styleId="21">
    <w:name w:val="页眉 Char"/>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15</Words>
  <Characters>87</Characters>
  <Lines>1</Lines>
  <Paragraphs>1</Paragraphs>
  <TotalTime>196</TotalTime>
  <ScaleCrop>false</ScaleCrop>
  <LinksUpToDate>false</LinksUpToDate>
  <CharactersWithSpaces>101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2012-09-19T12:59:00Z</dcterms:created>
  <dc:creator>阿拉善盟行政公署:打印</dc:creator>
  <cp:lastModifiedBy>哈斯高娃:通知发起人</cp:lastModifiedBy>
  <dcterms:modified xsi:type="dcterms:W3CDTF">2024-09-12T06:50:45Z</dcterms:modified>
  <dc:title>_x0001_</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