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70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val="0"/>
        <w:spacing w:line="480" w:lineRule="exact"/>
        <w:jc w:val="center"/>
        <w:textAlignment w:val="auto"/>
        <w:rPr>
          <w:rFonts w:hint="eastAsia" w:ascii="方正小标宋_GBK" w:hAnsi="方正小标宋_GBK" w:eastAsia="方正小标宋_GBK" w:cs="方正小标宋_GBK"/>
          <w:w w:val="94"/>
          <w:sz w:val="44"/>
          <w:szCs w:val="44"/>
          <w:lang w:eastAsia="zh-CN"/>
        </w:rPr>
      </w:pPr>
      <w:bookmarkStart w:id="0" w:name="标题"/>
      <w:bookmarkEnd w:id="0"/>
      <w:r>
        <w:rPr>
          <w:rFonts w:hint="eastAsia" w:ascii="方正小标宋_GBK" w:hAnsi="方正小标宋_GBK" w:eastAsia="方正小标宋_GBK" w:cs="方正小标宋_GBK"/>
          <w:w w:val="94"/>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val="0"/>
        <w:spacing w:line="480" w:lineRule="exact"/>
        <w:jc w:val="center"/>
        <w:textAlignment w:val="auto"/>
        <w:rPr>
          <w:rFonts w:hint="eastAsia" w:ascii="方正小标宋_GBK" w:hAnsi="方正小标宋_GBK" w:eastAsia="方正小标宋_GBK" w:cs="方正小标宋_GBK"/>
          <w:w w:val="94"/>
          <w:sz w:val="44"/>
          <w:szCs w:val="44"/>
          <w:lang w:eastAsia="zh-CN"/>
        </w:rPr>
      </w:pPr>
      <w:r>
        <w:rPr>
          <w:rFonts w:hint="eastAsia" w:ascii="方正小标宋_GBK" w:hAnsi="方正小标宋_GBK" w:eastAsia="方正小标宋_GBK" w:cs="方正小标宋_GBK"/>
          <w:w w:val="94"/>
          <w:sz w:val="44"/>
          <w:szCs w:val="44"/>
        </w:rPr>
        <w:t>进一步完善医疗卫生服务体系实施方案</w:t>
      </w:r>
      <w:r>
        <w:rPr>
          <w:rFonts w:hint="eastAsia" w:ascii="方正小标宋_GBK" w:hAnsi="方正小标宋_GBK" w:eastAsia="方正小标宋_GBK" w:cs="方正小标宋_GBK"/>
          <w:w w:val="94"/>
          <w:sz w:val="44"/>
          <w:szCs w:val="44"/>
          <w:lang w:eastAsia="zh-CN"/>
        </w:rPr>
        <w:t>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160" w:firstLineChars="5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内政办发〔2023〕61号</w:t>
      </w: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lang w:eastAsia="zh-CN"/>
        </w:rPr>
      </w:pPr>
    </w:p>
    <w:p>
      <w:pPr>
        <w:keepNext w:val="0"/>
        <w:keepLines w:val="0"/>
        <w:pageBreakBefore w:val="0"/>
        <w:widowControl w:val="0"/>
        <w:kinsoku/>
        <w:wordWrap/>
        <w:overflowPunct/>
        <w:topLinePunct/>
        <w:autoSpaceDE/>
        <w:autoSpaceDN/>
        <w:bidi w:val="0"/>
        <w:adjustRightInd/>
        <w:snapToGrid/>
        <w:spacing w:line="380" w:lineRule="exact"/>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各盟行政公署、市人民政府，自治区各委、办、厅、局，各大企业、事业单位</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380" w:lineRule="exact"/>
        <w:ind w:firstLine="596" w:firstLineChars="200"/>
        <w:jc w:val="both"/>
        <w:textAlignment w:val="auto"/>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经自治区人民政府同意，现将《内蒙古自治区进一步完善医疗卫生服务体系实施方案》印发给你们，请结合实际，认真贯彻落实。</w:t>
      </w:r>
    </w:p>
    <w:p>
      <w:pPr>
        <w:pStyle w:val="4"/>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楷体" w:hAnsi="楷体" w:eastAsia="楷体" w:cs="楷体"/>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楷体" w:hAnsi="楷体" w:eastAsia="楷体" w:cs="楷体"/>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p>
    <w:p>
      <w:pPr>
        <w:pStyle w:val="4"/>
        <w:keepNext w:val="0"/>
        <w:keepLines w:val="0"/>
        <w:pageBreakBefore w:val="0"/>
        <w:widowControl w:val="0"/>
        <w:tabs>
          <w:tab w:val="left" w:pos="7560"/>
          <w:tab w:val="left" w:pos="7770"/>
        </w:tabs>
        <w:kinsoku/>
        <w:wordWrap/>
        <w:overflowPunct/>
        <w:topLinePunct/>
        <w:autoSpaceDE/>
        <w:autoSpaceDN/>
        <w:bidi w:val="0"/>
        <w:adjustRightInd/>
        <w:spacing w:line="580" w:lineRule="exact"/>
        <w:ind w:left="0" w:leftChars="0" w:firstLine="5120" w:firstLineChars="16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2023年9月28日</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pStyle w:val="2"/>
        <w:rPr>
          <w:rFonts w:hint="eastAsia" w:ascii="楷体" w:hAnsi="楷体" w:eastAsia="楷体" w:cs="楷体"/>
          <w:sz w:val="32"/>
          <w:szCs w:val="32"/>
          <w:lang w:val="en-US" w:eastAsia="zh-CN"/>
        </w:rPr>
      </w:pPr>
    </w:p>
    <w:p>
      <w:pPr>
        <w:rPr>
          <w:rFonts w:hint="eastAsia" w:ascii="楷体" w:hAnsi="楷体" w:eastAsia="楷体" w:cs="楷体"/>
          <w:sz w:val="32"/>
          <w:szCs w:val="32"/>
          <w:lang w:val="en-US" w:eastAsia="zh-CN"/>
        </w:rPr>
      </w:pPr>
    </w:p>
    <w:p>
      <w:pPr>
        <w:pStyle w:val="2"/>
        <w:rPr>
          <w:rFonts w:hint="eastAsia" w:ascii="楷体" w:hAnsi="楷体" w:eastAsia="楷体" w:cs="楷体"/>
          <w:sz w:val="32"/>
          <w:szCs w:val="32"/>
          <w:lang w:val="en-US" w:eastAsia="zh-CN"/>
        </w:rPr>
      </w:pPr>
    </w:p>
    <w:p>
      <w:pPr>
        <w:rPr>
          <w:rFonts w:hint="eastAsia" w:ascii="楷体" w:hAnsi="楷体" w:eastAsia="楷体" w:cs="楷体"/>
          <w:sz w:val="32"/>
          <w:szCs w:val="32"/>
          <w:lang w:val="en-US" w:eastAsia="zh-CN"/>
        </w:rPr>
      </w:pPr>
    </w:p>
    <w:p>
      <w:pPr>
        <w:pStyle w:val="2"/>
        <w:rPr>
          <w:rFonts w:hint="eastAsia" w:ascii="楷体" w:hAnsi="楷体" w:eastAsia="楷体" w:cs="楷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autoSpaceDE/>
        <w:autoSpaceDN/>
        <w:bidi w:val="0"/>
        <w:adjustRightInd/>
        <w:spacing w:line="58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内蒙古自治区进一步</w:t>
      </w:r>
    </w:p>
    <w:p>
      <w:pPr>
        <w:keepNext w:val="0"/>
        <w:keepLines w:val="0"/>
        <w:pageBreakBefore w:val="0"/>
        <w:widowControl w:val="0"/>
        <w:kinsoku/>
        <w:wordWrap/>
        <w:overflowPunct/>
        <w:topLinePunct/>
        <w:autoSpaceDE/>
        <w:autoSpaceDN/>
        <w:bidi w:val="0"/>
        <w:adjustRightInd/>
        <w:snapToGrid w:val="0"/>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完善医疗卫生服务体系实施方案</w:t>
      </w:r>
    </w:p>
    <w:p>
      <w:pPr>
        <w:pStyle w:val="2"/>
        <w:rPr>
          <w:rFonts w:hint="eastAsi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eastAsia="zh-CN"/>
        </w:rPr>
        <w:t>为深入贯彻落实《中共中央办公厅</w:t>
      </w:r>
      <w:r>
        <w:rPr>
          <w:rFonts w:hint="eastAsia" w:ascii="仿宋" w:hAnsi="仿宋" w:eastAsia="仿宋" w:cs="仿宋"/>
          <w:b w:val="0"/>
          <w:bCs w:val="0"/>
          <w:spacing w:val="0"/>
          <w:sz w:val="32"/>
          <w:szCs w:val="32"/>
          <w:lang w:val="en-US" w:eastAsia="zh-CN"/>
        </w:rPr>
        <w:t xml:space="preserve">  </w:t>
      </w:r>
      <w:r>
        <w:rPr>
          <w:rFonts w:hint="eastAsia" w:ascii="仿宋" w:hAnsi="仿宋" w:eastAsia="仿宋" w:cs="仿宋"/>
          <w:b w:val="0"/>
          <w:bCs w:val="0"/>
          <w:spacing w:val="0"/>
          <w:sz w:val="32"/>
          <w:szCs w:val="32"/>
          <w:lang w:eastAsia="zh-CN"/>
        </w:rPr>
        <w:t>国务院办公厅印发〈关于进一步完善医疗卫生服务体系的意见</w:t>
      </w:r>
      <w:r>
        <w:rPr>
          <w:rFonts w:hint="eastAsia" w:ascii="仿宋" w:hAnsi="仿宋" w:eastAsia="仿宋" w:cs="仿宋"/>
          <w:b w:val="0"/>
          <w:bCs w:val="0"/>
          <w:spacing w:val="0"/>
          <w:sz w:val="32"/>
          <w:szCs w:val="32"/>
          <w:lang w:val="en-US" w:eastAsia="zh-CN"/>
        </w:rPr>
        <w:t>〉的通知</w:t>
      </w:r>
      <w:r>
        <w:rPr>
          <w:rFonts w:hint="eastAsia" w:ascii="仿宋" w:hAnsi="仿宋" w:eastAsia="仿宋" w:cs="仿宋"/>
          <w:b w:val="0"/>
          <w:bCs w:val="0"/>
          <w:spacing w:val="0"/>
          <w:sz w:val="32"/>
          <w:szCs w:val="32"/>
          <w:lang w:eastAsia="zh-CN"/>
        </w:rPr>
        <w:t>》（中办发〔</w:t>
      </w:r>
      <w:r>
        <w:rPr>
          <w:rFonts w:hint="eastAsia" w:ascii="仿宋" w:hAnsi="仿宋" w:eastAsia="仿宋" w:cs="仿宋"/>
          <w:b w:val="0"/>
          <w:bCs w:val="0"/>
          <w:spacing w:val="0"/>
          <w:sz w:val="32"/>
          <w:szCs w:val="32"/>
          <w:lang w:val="en-US" w:eastAsia="zh-CN"/>
        </w:rPr>
        <w:t>2023</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10号</w:t>
      </w:r>
      <w:r>
        <w:rPr>
          <w:rFonts w:hint="eastAsia" w:ascii="仿宋" w:hAnsi="仿宋" w:eastAsia="仿宋" w:cs="仿宋"/>
          <w:b w:val="0"/>
          <w:bCs w:val="0"/>
          <w:spacing w:val="0"/>
          <w:sz w:val="32"/>
          <w:szCs w:val="32"/>
          <w:lang w:eastAsia="zh-CN"/>
        </w:rPr>
        <w:t>）要求，建立健全优质高效的医疗卫生服务体系，助力健康内蒙古建设，为人民群众提供全方位全周期健康服务，结合自治区实际，制定本方案。</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一、总体要求</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楷体" w:hAnsi="楷体" w:eastAsia="楷体" w:cs="楷体"/>
          <w:spacing w:val="0"/>
          <w:sz w:val="32"/>
          <w:szCs w:val="32"/>
        </w:rPr>
        <w:t>（一）指导思想</w:t>
      </w:r>
      <w:r>
        <w:rPr>
          <w:rFonts w:hint="eastAsia" w:ascii="楷体" w:hAnsi="楷体" w:eastAsia="楷体" w:cs="楷体"/>
          <w:spacing w:val="0"/>
          <w:sz w:val="32"/>
          <w:szCs w:val="32"/>
          <w:lang w:eastAsia="zh-CN"/>
        </w:rPr>
        <w:t>。</w:t>
      </w:r>
      <w:r>
        <w:rPr>
          <w:rFonts w:hint="eastAsia" w:ascii="仿宋" w:hAnsi="仿宋" w:eastAsia="仿宋" w:cs="仿宋"/>
          <w:spacing w:val="0"/>
          <w:sz w:val="32"/>
          <w:szCs w:val="32"/>
        </w:rPr>
        <w:t>以习近平新时代中国特色社会主义思想为指导，深入贯彻党的二十大精神，把保障人民健康放在优先发展的战略位置，贯彻新时代党的卫生与健康工作方针，总结新冠疫情防控经验，坚持以人民健康为中心，坚持预防为主，坚持医疗卫生事业公益性，坚持以基层为重点，推动医疗卫生发展方式转向更加注重内涵式发展、服务模式转向更加注重系统连续、管理手段转向更加注重科学化治理，促进优质医疗资源扩容和区域均衡布局，建设中国特色优质高效的医疗卫生服务体系，不断增强人民群众获得感、幸福感、安全感。</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eastAsia="zh-CN"/>
        </w:rPr>
      </w:pPr>
      <w:r>
        <w:rPr>
          <w:rFonts w:hint="eastAsia" w:ascii="楷体" w:hAnsi="楷体" w:eastAsia="楷体" w:cs="楷体"/>
          <w:spacing w:val="0"/>
          <w:sz w:val="32"/>
          <w:szCs w:val="32"/>
        </w:rPr>
        <w:t>（二）工作目标</w:t>
      </w:r>
      <w:r>
        <w:rPr>
          <w:rFonts w:hint="eastAsia" w:ascii="楷体" w:hAnsi="楷体" w:eastAsia="楷体" w:cs="楷体"/>
          <w:spacing w:val="0"/>
          <w:sz w:val="32"/>
          <w:szCs w:val="32"/>
          <w:lang w:eastAsia="zh-CN"/>
        </w:rPr>
        <w:t>。</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到2025年，自治区医疗卫生服务体系进一步健全，资源配置和服务均衡性逐步提高，国家区域医疗中心、自治区级区域医疗中心和高水平医院建设初具规模，</w:t>
      </w:r>
      <w:r>
        <w:rPr>
          <w:rFonts w:hint="eastAsia" w:ascii="仿宋" w:hAnsi="仿宋" w:eastAsia="仿宋" w:cs="仿宋"/>
          <w:color w:val="auto"/>
          <w:spacing w:val="0"/>
          <w:sz w:val="32"/>
          <w:szCs w:val="32"/>
        </w:rPr>
        <w:t>旗县级医疗卫生服务体系</w:t>
      </w:r>
      <w:r>
        <w:rPr>
          <w:rFonts w:hint="eastAsia" w:ascii="仿宋" w:hAnsi="仿宋" w:eastAsia="仿宋" w:cs="仿宋"/>
          <w:color w:val="auto"/>
          <w:spacing w:val="0"/>
          <w:sz w:val="32"/>
          <w:szCs w:val="32"/>
          <w:lang w:eastAsia="zh-CN"/>
        </w:rPr>
        <w:t>建</w:t>
      </w:r>
      <w:r>
        <w:rPr>
          <w:rFonts w:hint="eastAsia" w:ascii="仿宋" w:hAnsi="仿宋" w:eastAsia="仿宋" w:cs="仿宋"/>
          <w:color w:val="auto"/>
          <w:spacing w:val="6"/>
          <w:sz w:val="32"/>
          <w:szCs w:val="32"/>
          <w:lang w:eastAsia="zh-CN"/>
        </w:rPr>
        <w:t>设</w:t>
      </w:r>
      <w:r>
        <w:rPr>
          <w:rFonts w:hint="eastAsia" w:ascii="仿宋" w:hAnsi="仿宋" w:eastAsia="仿宋" w:cs="仿宋"/>
          <w:color w:val="auto"/>
          <w:spacing w:val="6"/>
          <w:sz w:val="32"/>
          <w:szCs w:val="32"/>
        </w:rPr>
        <w:t>和管理能力明显</w:t>
      </w:r>
      <w:r>
        <w:rPr>
          <w:rFonts w:hint="eastAsia" w:ascii="仿宋" w:hAnsi="仿宋" w:eastAsia="仿宋" w:cs="仿宋"/>
          <w:color w:val="auto"/>
          <w:spacing w:val="6"/>
          <w:sz w:val="32"/>
          <w:szCs w:val="32"/>
          <w:lang w:eastAsia="zh-CN"/>
        </w:rPr>
        <w:t>增强</w:t>
      </w:r>
      <w:r>
        <w:rPr>
          <w:rFonts w:hint="eastAsia" w:ascii="仿宋" w:hAnsi="仿宋" w:eastAsia="仿宋" w:cs="仿宋"/>
          <w:color w:val="auto"/>
          <w:spacing w:val="6"/>
          <w:sz w:val="32"/>
          <w:szCs w:val="32"/>
        </w:rPr>
        <w:t>，</w:t>
      </w:r>
      <w:r>
        <w:rPr>
          <w:rFonts w:hint="eastAsia" w:ascii="仿宋" w:hAnsi="仿宋" w:eastAsia="仿宋" w:cs="仿宋"/>
          <w:spacing w:val="6"/>
          <w:sz w:val="32"/>
          <w:szCs w:val="32"/>
        </w:rPr>
        <w:t>国家公立医院绩效考核排位明显提升，</w:t>
      </w:r>
      <w:r>
        <w:rPr>
          <w:rFonts w:hint="eastAsia" w:ascii="仿宋" w:hAnsi="仿宋" w:eastAsia="仿宋" w:cs="仿宋"/>
          <w:spacing w:val="0"/>
          <w:sz w:val="32"/>
          <w:szCs w:val="32"/>
        </w:rPr>
        <w:t>50%以上旗县级综合医院达到国家县级医院医疗服务能力推荐标准，三四级手术占比不断提高，县域内住院人次占比达到80%以上，基本实现“大病不出自治区”的目标，重大疾病防控、救治和应急处置能力明显增强，中（蒙）西医发展更加协调，有序就医和诊疗体系建设取得积极成效。</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到2035年，基本形成与</w:t>
      </w:r>
      <w:r>
        <w:rPr>
          <w:rFonts w:hint="eastAsia" w:ascii="仿宋" w:hAnsi="仿宋" w:eastAsia="仿宋" w:cs="仿宋"/>
          <w:spacing w:val="0"/>
          <w:sz w:val="32"/>
          <w:szCs w:val="32"/>
          <w:lang w:eastAsia="zh-CN"/>
        </w:rPr>
        <w:t>建设“</w:t>
      </w:r>
      <w:r>
        <w:rPr>
          <w:rFonts w:hint="eastAsia" w:ascii="仿宋" w:hAnsi="仿宋" w:eastAsia="仿宋" w:cs="仿宋"/>
          <w:spacing w:val="0"/>
          <w:sz w:val="32"/>
          <w:szCs w:val="32"/>
        </w:rPr>
        <w:t>模范自治区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和基本实现社会主义现代化相适应，体系完整、分工明确、功能互补、连续协同、运行高效、富有韧性的整合型医疗卫生服务体系，卫生健康治理体系</w:t>
      </w:r>
      <w:r>
        <w:rPr>
          <w:rFonts w:hint="eastAsia" w:ascii="仿宋" w:hAnsi="仿宋" w:eastAsia="仿宋" w:cs="仿宋"/>
          <w:spacing w:val="0"/>
          <w:sz w:val="32"/>
          <w:szCs w:val="32"/>
          <w:lang w:eastAsia="zh-CN"/>
        </w:rPr>
        <w:t>建设</w:t>
      </w:r>
      <w:r>
        <w:rPr>
          <w:rFonts w:hint="eastAsia" w:ascii="仿宋" w:hAnsi="仿宋" w:eastAsia="仿宋" w:cs="仿宋"/>
          <w:spacing w:val="0"/>
          <w:sz w:val="32"/>
          <w:szCs w:val="32"/>
        </w:rPr>
        <w:t>和治理能力现代化水平明显</w:t>
      </w:r>
      <w:r>
        <w:rPr>
          <w:rFonts w:hint="eastAsia" w:ascii="仿宋" w:hAnsi="仿宋" w:eastAsia="仿宋" w:cs="仿宋"/>
          <w:spacing w:val="0"/>
          <w:sz w:val="32"/>
          <w:szCs w:val="32"/>
          <w:lang w:eastAsia="zh-CN"/>
        </w:rPr>
        <w:t>增强</w:t>
      </w:r>
      <w:r>
        <w:rPr>
          <w:rFonts w:hint="eastAsia" w:ascii="仿宋" w:hAnsi="仿宋" w:eastAsia="仿宋" w:cs="仿宋"/>
          <w:spacing w:val="0"/>
          <w:sz w:val="32"/>
          <w:szCs w:val="32"/>
        </w:rPr>
        <w:t>，医疗卫生服务公平性、可及性和优质服务供给能力明显</w:t>
      </w:r>
      <w:r>
        <w:rPr>
          <w:rFonts w:hint="eastAsia" w:ascii="仿宋" w:hAnsi="仿宋" w:eastAsia="仿宋" w:cs="仿宋"/>
          <w:spacing w:val="0"/>
          <w:sz w:val="32"/>
          <w:szCs w:val="32"/>
          <w:lang w:eastAsia="zh-CN"/>
        </w:rPr>
        <w:t>提高</w:t>
      </w:r>
      <w:r>
        <w:rPr>
          <w:rFonts w:hint="eastAsia" w:ascii="仿宋" w:hAnsi="仿宋" w:eastAsia="仿宋" w:cs="仿宋"/>
          <w:spacing w:val="0"/>
          <w:sz w:val="32"/>
          <w:szCs w:val="32"/>
        </w:rPr>
        <w:t>，促进人民群众健康水平显著提升。</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二、重点任务</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eastAsia="zh-CN"/>
        </w:rPr>
      </w:pPr>
      <w:r>
        <w:rPr>
          <w:rFonts w:hint="eastAsia" w:ascii="楷体" w:hAnsi="楷体" w:eastAsia="楷体" w:cs="楷体"/>
          <w:spacing w:val="0"/>
          <w:sz w:val="32"/>
          <w:szCs w:val="32"/>
        </w:rPr>
        <w:t>（一）以公平可及为导向，优化资源配置，推进能力体系现代化</w:t>
      </w:r>
      <w:r>
        <w:rPr>
          <w:rFonts w:hint="eastAsia" w:ascii="楷体" w:hAnsi="楷体" w:eastAsia="楷体" w:cs="楷体"/>
          <w:spacing w:val="0"/>
          <w:sz w:val="32"/>
          <w:szCs w:val="32"/>
          <w:lang w:eastAsia="zh-CN"/>
        </w:rPr>
        <w:t>。</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rPr>
      </w:pPr>
      <w:r>
        <w:rPr>
          <w:rFonts w:hint="eastAsia" w:ascii="仿宋" w:hAnsi="仿宋" w:eastAsia="仿宋" w:cs="仿宋"/>
          <w:spacing w:val="0"/>
          <w:sz w:val="32"/>
          <w:szCs w:val="32"/>
        </w:rPr>
        <w:t>1.</w:t>
      </w:r>
      <w:r>
        <w:rPr>
          <w:rFonts w:hint="eastAsia" w:ascii="仿宋" w:hAnsi="仿宋" w:eastAsia="仿宋" w:cs="仿宋"/>
          <w:spacing w:val="6"/>
          <w:sz w:val="32"/>
          <w:szCs w:val="32"/>
        </w:rPr>
        <w:t>推进高水平医疗中心建设。按照“一体两翼”建设原则，</w:t>
      </w:r>
      <w:r>
        <w:rPr>
          <w:rFonts w:hint="eastAsia" w:ascii="仿宋" w:hAnsi="仿宋" w:eastAsia="仿宋" w:cs="仿宋"/>
          <w:spacing w:val="0"/>
          <w:sz w:val="32"/>
          <w:szCs w:val="32"/>
        </w:rPr>
        <w:t>加快推进4个国家区域医疗中心和4个自治区区域医疗中心建设。规划实施自治区高水平医院建设项目，聚焦重点病种和专科，均衡配置优质医疗资源，形成自治区区域内的“医疗高地”。全面实施高水平医院医疗服务能力倍增计划，充分利用“京蒙”协作和“蒙沪”</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“蒙辽”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“蒙陕”</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“蒙宁”等地战略合作成果，加快建设自治区脑科医院、胸科医院2个标志性医疗合作项目，推动北京6家医院与自治区直属6家医院建立重点专科“一对一”帮扶协作，推动</w:t>
      </w:r>
      <w:r>
        <w:rPr>
          <w:rFonts w:hint="eastAsia" w:ascii="仿宋" w:hAnsi="仿宋" w:eastAsia="仿宋" w:cs="仿宋"/>
          <w:spacing w:val="0"/>
          <w:sz w:val="32"/>
          <w:szCs w:val="32"/>
          <w:lang w:eastAsia="zh-CN"/>
        </w:rPr>
        <w:t>相关</w:t>
      </w:r>
      <w:r>
        <w:rPr>
          <w:rFonts w:hint="eastAsia" w:ascii="仿宋" w:hAnsi="仿宋" w:eastAsia="仿宋" w:cs="仿宋"/>
          <w:spacing w:val="0"/>
          <w:sz w:val="32"/>
          <w:szCs w:val="32"/>
        </w:rPr>
        <w:t>公立医院优质医疗资源“同质化”平移到自治区。建立健全国家和自治区区域医疗中心管理制度和运行机制，引导国家区域医疗中心率先发展、特色发展，发挥好示范引领和辐射带动作用。鼓励各盟市建设盟市级区域医疗中心。布局开展自治区级中医（蒙医）区域医疗中心建设。推进高水平重点专科建设，全区培育国家临床重点专科项目不少于30个，自治区级临床重点专科项目不少于100个，盟市级临床重点专科项目</w:t>
      </w:r>
      <w:r>
        <w:rPr>
          <w:rFonts w:hint="eastAsia" w:ascii="仿宋" w:hAnsi="仿宋" w:eastAsia="仿宋" w:cs="仿宋"/>
          <w:spacing w:val="-6"/>
          <w:sz w:val="32"/>
          <w:szCs w:val="32"/>
        </w:rPr>
        <w:t>不少于300个。</w:t>
      </w:r>
      <w:r>
        <w:rPr>
          <w:rFonts w:hint="eastAsia" w:ascii="楷体" w:hAnsi="楷体" w:eastAsia="楷体" w:cs="楷体"/>
          <w:spacing w:val="-6"/>
          <w:sz w:val="32"/>
          <w:szCs w:val="32"/>
          <w:lang w:val="en-US" w:eastAsia="zh-CN"/>
        </w:rPr>
        <w:t>(</w:t>
      </w:r>
      <w:r>
        <w:rPr>
          <w:rFonts w:hint="eastAsia" w:ascii="楷体" w:hAnsi="楷体" w:eastAsia="楷体" w:cs="楷体"/>
          <w:spacing w:val="-6"/>
          <w:sz w:val="32"/>
          <w:szCs w:val="32"/>
        </w:rPr>
        <w:t>责任单位：自治区卫生健康委、发展改革委、</w:t>
      </w:r>
      <w:r>
        <w:rPr>
          <w:rFonts w:hint="eastAsia" w:ascii="楷体" w:hAnsi="楷体" w:eastAsia="楷体" w:cs="楷体"/>
          <w:spacing w:val="0"/>
          <w:sz w:val="32"/>
          <w:szCs w:val="32"/>
        </w:rPr>
        <w:t>财政厅等部门</w:t>
      </w:r>
      <w:r>
        <w:rPr>
          <w:rFonts w:hint="eastAsia" w:ascii="楷体" w:hAnsi="楷体" w:eastAsia="楷体" w:cs="楷体"/>
          <w:spacing w:val="0"/>
          <w:sz w:val="32"/>
          <w:szCs w:val="32"/>
          <w:lang w:eastAsia="zh-CN"/>
        </w:rPr>
        <w:t>，</w:t>
      </w:r>
      <w:r>
        <w:rPr>
          <w:rFonts w:hint="eastAsia" w:ascii="楷体" w:hAnsi="楷体" w:eastAsia="楷体" w:cs="楷体"/>
          <w:spacing w:val="0"/>
          <w:sz w:val="32"/>
          <w:szCs w:val="32"/>
        </w:rPr>
        <w:t>各盟</w:t>
      </w:r>
      <w:r>
        <w:rPr>
          <w:rFonts w:hint="eastAsia" w:ascii="楷体" w:hAnsi="楷体" w:eastAsia="楷体" w:cs="楷体"/>
          <w:spacing w:val="0"/>
          <w:sz w:val="32"/>
          <w:szCs w:val="32"/>
          <w:lang w:eastAsia="zh-CN"/>
        </w:rPr>
        <w:t>行政公署、</w:t>
      </w:r>
      <w:r>
        <w:rPr>
          <w:rFonts w:hint="eastAsia" w:ascii="楷体" w:hAnsi="楷体" w:eastAsia="楷体" w:cs="楷体"/>
          <w:spacing w:val="0"/>
          <w:sz w:val="32"/>
          <w:szCs w:val="32"/>
        </w:rPr>
        <w:t>市</w:t>
      </w:r>
      <w:r>
        <w:rPr>
          <w:rFonts w:hint="eastAsia" w:ascii="楷体" w:hAnsi="楷体" w:eastAsia="楷体" w:cs="楷体"/>
          <w:spacing w:val="0"/>
          <w:sz w:val="32"/>
          <w:szCs w:val="32"/>
          <w:lang w:eastAsia="zh-CN"/>
        </w:rPr>
        <w:t>人民政府</w:t>
      </w:r>
      <w:r>
        <w:rPr>
          <w:rFonts w:hint="eastAsia" w:ascii="楷体" w:hAnsi="楷体" w:eastAsia="楷体" w:cs="楷体"/>
          <w:spacing w:val="0"/>
          <w:sz w:val="32"/>
          <w:szCs w:val="32"/>
        </w:rPr>
        <w:t>按职责</w:t>
      </w:r>
      <w:r>
        <w:rPr>
          <w:rFonts w:hint="eastAsia" w:ascii="楷体" w:hAnsi="楷体" w:eastAsia="楷体" w:cs="楷体"/>
          <w:spacing w:val="0"/>
          <w:sz w:val="32"/>
          <w:szCs w:val="32"/>
          <w:lang w:eastAsia="zh-CN"/>
        </w:rPr>
        <w:t>分工</w:t>
      </w:r>
      <w:r>
        <w:rPr>
          <w:rFonts w:hint="eastAsia" w:ascii="楷体" w:hAnsi="楷体" w:eastAsia="楷体" w:cs="楷体"/>
          <w:spacing w:val="0"/>
          <w:sz w:val="32"/>
          <w:szCs w:val="32"/>
        </w:rPr>
        <w:t>负责</w:t>
      </w:r>
      <w:r>
        <w:rPr>
          <w:rFonts w:hint="eastAsia" w:ascii="楷体" w:hAnsi="楷体" w:eastAsia="楷体" w:cs="楷体"/>
          <w:spacing w:val="0"/>
          <w:sz w:val="32"/>
          <w:szCs w:val="32"/>
          <w:lang w:eastAsia="zh-CN"/>
        </w:rPr>
        <w:t>。</w:t>
      </w:r>
      <w:r>
        <w:rPr>
          <w:rFonts w:hint="eastAsia" w:ascii="楷体" w:hAnsi="楷体" w:eastAsia="楷体" w:cs="楷体"/>
          <w:spacing w:val="0"/>
          <w:sz w:val="32"/>
          <w:szCs w:val="32"/>
        </w:rPr>
        <w:t>以下各项</w:t>
      </w:r>
      <w:r>
        <w:rPr>
          <w:rFonts w:hint="eastAsia" w:ascii="楷体" w:hAnsi="楷体" w:eastAsia="楷体" w:cs="楷体"/>
          <w:spacing w:val="0"/>
          <w:sz w:val="32"/>
          <w:szCs w:val="32"/>
          <w:lang w:eastAsia="zh-CN"/>
        </w:rPr>
        <w:t>任务</w:t>
      </w:r>
      <w:r>
        <w:rPr>
          <w:rFonts w:hint="eastAsia" w:ascii="楷体" w:hAnsi="楷体" w:eastAsia="楷体" w:cs="楷体"/>
          <w:spacing w:val="0"/>
          <w:sz w:val="32"/>
          <w:szCs w:val="32"/>
        </w:rPr>
        <w:t>责任单位均</w:t>
      </w:r>
      <w:r>
        <w:rPr>
          <w:rFonts w:hint="eastAsia" w:ascii="楷体" w:hAnsi="楷体" w:eastAsia="楷体" w:cs="楷体"/>
          <w:spacing w:val="0"/>
          <w:sz w:val="32"/>
          <w:szCs w:val="32"/>
          <w:lang w:eastAsia="zh-CN"/>
        </w:rPr>
        <w:t>包括</w:t>
      </w:r>
      <w:r>
        <w:rPr>
          <w:rFonts w:hint="eastAsia" w:ascii="楷体" w:hAnsi="楷体" w:eastAsia="楷体" w:cs="楷体"/>
          <w:spacing w:val="0"/>
          <w:sz w:val="32"/>
          <w:szCs w:val="32"/>
        </w:rPr>
        <w:t>各盟</w:t>
      </w:r>
      <w:r>
        <w:rPr>
          <w:rFonts w:hint="eastAsia" w:ascii="楷体" w:hAnsi="楷体" w:eastAsia="楷体" w:cs="楷体"/>
          <w:spacing w:val="0"/>
          <w:sz w:val="32"/>
          <w:szCs w:val="32"/>
          <w:lang w:eastAsia="zh-CN"/>
        </w:rPr>
        <w:t>行政公署、</w:t>
      </w:r>
      <w:r>
        <w:rPr>
          <w:rFonts w:hint="eastAsia" w:ascii="楷体" w:hAnsi="楷体" w:eastAsia="楷体" w:cs="楷体"/>
          <w:spacing w:val="0"/>
          <w:sz w:val="32"/>
          <w:szCs w:val="32"/>
        </w:rPr>
        <w:t>市</w:t>
      </w:r>
      <w:r>
        <w:rPr>
          <w:rFonts w:hint="eastAsia" w:ascii="楷体" w:hAnsi="楷体" w:eastAsia="楷体" w:cs="楷体"/>
          <w:spacing w:val="0"/>
          <w:sz w:val="32"/>
          <w:szCs w:val="32"/>
          <w:lang w:eastAsia="zh-CN"/>
        </w:rPr>
        <w:t>人民政府，不再列出</w:t>
      </w:r>
      <w:r>
        <w:rPr>
          <w:rFonts w:hint="eastAsia" w:ascii="楷体" w:hAnsi="楷体" w:eastAsia="楷体" w:cs="楷体"/>
          <w:spacing w:val="0"/>
          <w:sz w:val="32"/>
          <w:szCs w:val="32"/>
          <w:lang w:val="en-US" w:eastAsia="zh-CN"/>
        </w:rPr>
        <w:t>)</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2.突出旗县级医院县域龙头地位。推进旗县</w:t>
      </w:r>
      <w:r>
        <w:rPr>
          <w:rFonts w:hint="eastAsia" w:ascii="仿宋" w:hAnsi="仿宋" w:eastAsia="仿宋" w:cs="仿宋"/>
          <w:spacing w:val="0"/>
          <w:sz w:val="32"/>
          <w:szCs w:val="32"/>
          <w:lang w:eastAsia="zh-CN"/>
        </w:rPr>
        <w:t>级</w:t>
      </w:r>
      <w:r>
        <w:rPr>
          <w:rFonts w:hint="eastAsia" w:ascii="仿宋" w:hAnsi="仿宋" w:eastAsia="仿宋" w:cs="仿宋"/>
          <w:spacing w:val="0"/>
          <w:sz w:val="32"/>
          <w:szCs w:val="32"/>
        </w:rPr>
        <w:t>医院</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含中医</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蒙医）医院，下同</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提档升级，实施</w:t>
      </w:r>
      <w:r>
        <w:rPr>
          <w:rFonts w:hint="eastAsia" w:ascii="仿宋" w:hAnsi="仿宋" w:eastAsia="仿宋" w:cs="仿宋"/>
          <w:spacing w:val="0"/>
          <w:sz w:val="32"/>
          <w:szCs w:val="32"/>
          <w:lang w:eastAsia="zh-CN"/>
        </w:rPr>
        <w:t>旗县级</w:t>
      </w:r>
      <w:r>
        <w:rPr>
          <w:rFonts w:hint="eastAsia" w:ascii="仿宋" w:hAnsi="仿宋" w:eastAsia="仿宋" w:cs="仿宋"/>
          <w:spacing w:val="0"/>
          <w:sz w:val="32"/>
          <w:szCs w:val="32"/>
        </w:rPr>
        <w:t>综合医院、</w:t>
      </w:r>
      <w:r>
        <w:rPr>
          <w:rFonts w:hint="eastAsia" w:ascii="仿宋" w:hAnsi="仿宋" w:eastAsia="仿宋" w:cs="仿宋"/>
          <w:spacing w:val="0"/>
          <w:sz w:val="32"/>
          <w:szCs w:val="32"/>
          <w:lang w:eastAsia="zh-CN"/>
        </w:rPr>
        <w:t>旗县级</w:t>
      </w:r>
      <w:r>
        <w:rPr>
          <w:rFonts w:hint="eastAsia" w:ascii="仿宋" w:hAnsi="仿宋" w:eastAsia="仿宋" w:cs="仿宋"/>
          <w:spacing w:val="0"/>
          <w:sz w:val="32"/>
          <w:szCs w:val="32"/>
        </w:rPr>
        <w:t>中医（蒙医）医院、</w:t>
      </w:r>
      <w:r>
        <w:rPr>
          <w:rFonts w:hint="eastAsia" w:ascii="仿宋" w:hAnsi="仿宋" w:eastAsia="仿宋" w:cs="仿宋"/>
          <w:spacing w:val="0"/>
          <w:sz w:val="32"/>
          <w:szCs w:val="32"/>
          <w:lang w:eastAsia="zh-CN"/>
        </w:rPr>
        <w:t>旗</w:t>
      </w:r>
      <w:r>
        <w:rPr>
          <w:rFonts w:hint="eastAsia" w:ascii="仿宋" w:hAnsi="仿宋" w:eastAsia="仿宋" w:cs="仿宋"/>
          <w:spacing w:val="0"/>
          <w:sz w:val="32"/>
          <w:szCs w:val="32"/>
        </w:rPr>
        <w:t>县级妇幼保健院能力提升行动，提级建设一批边境口岸旗县级医院。</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十四五</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期间推动100个旗县级医院重点专科建设，提升肿瘤、心脑血管疾病等重大疾病诊疗能力。以“医联体+”为切入点，</w:t>
      </w:r>
      <w:r>
        <w:rPr>
          <w:rFonts w:hint="eastAsia" w:ascii="仿宋" w:hAnsi="仿宋" w:eastAsia="仿宋" w:cs="仿宋"/>
          <w:spacing w:val="0"/>
          <w:sz w:val="32"/>
          <w:szCs w:val="32"/>
          <w:lang w:eastAsia="zh-CN"/>
        </w:rPr>
        <w:t>通过</w:t>
      </w:r>
      <w:r>
        <w:rPr>
          <w:rFonts w:hint="eastAsia" w:ascii="仿宋" w:hAnsi="仿宋" w:eastAsia="仿宋" w:cs="仿宋"/>
          <w:spacing w:val="0"/>
          <w:sz w:val="32"/>
          <w:szCs w:val="32"/>
        </w:rPr>
        <w:t>盟市三级医院专科共建、业务指导、教学查房、科研与项目协作等联合办医形式，加强旗县（市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区）医院临床薄弱专科和重点专科能力建设。加强三级公立医院对口支援</w:t>
      </w:r>
      <w:r>
        <w:rPr>
          <w:rFonts w:hint="eastAsia" w:ascii="仿宋" w:hAnsi="仿宋" w:eastAsia="仿宋" w:cs="仿宋"/>
          <w:spacing w:val="0"/>
          <w:sz w:val="32"/>
          <w:szCs w:val="32"/>
          <w:lang w:eastAsia="zh-CN"/>
        </w:rPr>
        <w:t>旗县级</w:t>
      </w:r>
      <w:r>
        <w:rPr>
          <w:rFonts w:hint="eastAsia" w:ascii="仿宋" w:hAnsi="仿宋" w:eastAsia="仿宋" w:cs="仿宋"/>
          <w:spacing w:val="0"/>
          <w:sz w:val="32"/>
          <w:szCs w:val="32"/>
        </w:rPr>
        <w:t>医院建设，统筹推进医疗人才组团式帮扶国家乡村振兴重点帮扶</w:t>
      </w:r>
      <w:r>
        <w:rPr>
          <w:rFonts w:hint="eastAsia" w:ascii="仿宋" w:hAnsi="仿宋" w:eastAsia="仿宋" w:cs="仿宋"/>
          <w:spacing w:val="0"/>
          <w:sz w:val="32"/>
          <w:szCs w:val="32"/>
          <w:lang w:eastAsia="zh-CN"/>
        </w:rPr>
        <w:t>旗</w:t>
      </w:r>
      <w:r>
        <w:rPr>
          <w:rFonts w:hint="eastAsia" w:ascii="仿宋" w:hAnsi="仿宋" w:eastAsia="仿宋" w:cs="仿宋"/>
          <w:spacing w:val="0"/>
          <w:sz w:val="32"/>
          <w:szCs w:val="32"/>
        </w:rPr>
        <w:t>县</w:t>
      </w:r>
      <w:r>
        <w:rPr>
          <w:rFonts w:hint="eastAsia" w:ascii="仿宋" w:hAnsi="仿宋" w:eastAsia="仿宋" w:cs="仿宋"/>
          <w:spacing w:val="0"/>
          <w:sz w:val="32"/>
          <w:szCs w:val="32"/>
          <w:lang w:eastAsia="zh-CN"/>
        </w:rPr>
        <w:t>级</w:t>
      </w:r>
      <w:r>
        <w:rPr>
          <w:rFonts w:hint="eastAsia" w:ascii="仿宋" w:hAnsi="仿宋" w:eastAsia="仿宋" w:cs="仿宋"/>
          <w:spacing w:val="0"/>
          <w:sz w:val="32"/>
          <w:szCs w:val="32"/>
        </w:rPr>
        <w:t>医院工作。2025年底，以国家“千县工程”为牵引，力争实现“千县工程”医院胸痛、卒中、创伤、危重孕产妇救治、危重儿童和新生儿救治等急诊急救“五大中心”县域全覆盖。</w:t>
      </w:r>
      <w:r>
        <w:rPr>
          <w:rFonts w:hint="eastAsia" w:ascii="楷体" w:hAnsi="楷体" w:eastAsia="楷体" w:cs="楷体"/>
          <w:spacing w:val="0"/>
          <w:sz w:val="32"/>
          <w:szCs w:val="32"/>
          <w:lang w:val="en-US" w:eastAsia="zh-CN"/>
        </w:rPr>
        <w:t>（责任单位：自治区发展改革委、卫生健康委、财政厅等部门按职责分工负责）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3.夯实城乡基层医疗卫生服务网底。优化乡村医疗卫生机构布局</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深度整合医疗卫生资源，</w:t>
      </w:r>
      <w:r>
        <w:rPr>
          <w:rFonts w:hint="eastAsia" w:ascii="仿宋" w:hAnsi="仿宋" w:eastAsia="仿宋" w:cs="仿宋"/>
          <w:spacing w:val="0"/>
          <w:sz w:val="32"/>
          <w:szCs w:val="32"/>
          <w:lang w:eastAsia="zh-CN"/>
        </w:rPr>
        <w:t>对于</w:t>
      </w:r>
      <w:r>
        <w:rPr>
          <w:rFonts w:hint="eastAsia" w:ascii="仿宋" w:hAnsi="仿宋" w:eastAsia="仿宋" w:cs="仿宋"/>
          <w:spacing w:val="0"/>
          <w:sz w:val="32"/>
          <w:szCs w:val="32"/>
        </w:rPr>
        <w:t>人口较多</w:t>
      </w:r>
      <w:r>
        <w:rPr>
          <w:rFonts w:hint="eastAsia" w:ascii="仿宋" w:hAnsi="仿宋" w:eastAsia="仿宋" w:cs="仿宋"/>
          <w:spacing w:val="0"/>
          <w:sz w:val="32"/>
          <w:szCs w:val="32"/>
          <w:lang w:eastAsia="zh-CN"/>
        </w:rPr>
        <w:t>且相对</w:t>
      </w:r>
      <w:r>
        <w:rPr>
          <w:rFonts w:hint="eastAsia" w:ascii="仿宋" w:hAnsi="仿宋" w:eastAsia="仿宋" w:cs="仿宋"/>
          <w:spacing w:val="0"/>
          <w:sz w:val="32"/>
          <w:szCs w:val="32"/>
        </w:rPr>
        <w:t>集中的苏木乡镇，依托调整后的中心卫生院，探索按照二级综合医院标准建设县域医疗卫生次中心。大力推进社区医院建设发展，以社区卫生服务中心为重点创建一批社区医院，健全临床科室设置和设备配备。强化政府支持举办</w:t>
      </w:r>
      <w:r>
        <w:rPr>
          <w:rFonts w:hint="eastAsia" w:ascii="仿宋" w:hAnsi="仿宋" w:eastAsia="仿宋" w:cs="仿宋"/>
          <w:spacing w:val="0"/>
          <w:sz w:val="32"/>
          <w:szCs w:val="32"/>
          <w:lang w:eastAsia="zh-CN"/>
        </w:rPr>
        <w:t>的</w:t>
      </w:r>
      <w:r>
        <w:rPr>
          <w:rFonts w:hint="eastAsia" w:ascii="仿宋" w:hAnsi="仿宋" w:eastAsia="仿宋" w:cs="仿宋"/>
          <w:spacing w:val="0"/>
          <w:sz w:val="32"/>
          <w:szCs w:val="32"/>
        </w:rPr>
        <w:t>社区卫生服务站和嘎查村卫生室</w:t>
      </w:r>
      <w:r>
        <w:rPr>
          <w:rFonts w:hint="eastAsia" w:ascii="仿宋" w:hAnsi="仿宋" w:eastAsia="仿宋" w:cs="仿宋"/>
          <w:spacing w:val="0"/>
          <w:sz w:val="32"/>
          <w:szCs w:val="32"/>
          <w:lang w:eastAsia="zh-CN"/>
        </w:rPr>
        <w:t>责任</w:t>
      </w:r>
      <w:r>
        <w:rPr>
          <w:rFonts w:hint="eastAsia" w:ascii="仿宋" w:hAnsi="仿宋" w:eastAsia="仿宋" w:cs="仿宋"/>
          <w:spacing w:val="0"/>
          <w:sz w:val="32"/>
          <w:szCs w:val="32"/>
        </w:rPr>
        <w:t>，根据人口分布情况，优化规划和配置，建设中心嘎查村卫生室。对人口较少的嘎查村可通过巡回医疗、邻（联）嘎查村延伸服务、上级医疗卫生机构派驻等方式，方便群众看病就医。服务人口不足500人、地</w:t>
      </w:r>
      <w:r>
        <w:rPr>
          <w:rFonts w:hint="eastAsia" w:ascii="仿宋" w:hAnsi="仿宋" w:eastAsia="仿宋" w:cs="仿宋"/>
          <w:color w:val="auto"/>
          <w:spacing w:val="0"/>
          <w:sz w:val="32"/>
          <w:szCs w:val="32"/>
        </w:rPr>
        <w:t>域临近的</w:t>
      </w:r>
      <w:r>
        <w:rPr>
          <w:rFonts w:hint="eastAsia" w:ascii="仿宋" w:hAnsi="仿宋" w:eastAsia="仿宋" w:cs="仿宋"/>
          <w:color w:val="auto"/>
          <w:spacing w:val="0"/>
          <w:sz w:val="32"/>
          <w:szCs w:val="32"/>
          <w:lang w:eastAsia="zh-CN"/>
        </w:rPr>
        <w:t>行政</w:t>
      </w:r>
      <w:r>
        <w:rPr>
          <w:rFonts w:hint="eastAsia" w:ascii="仿宋" w:hAnsi="仿宋" w:eastAsia="仿宋" w:cs="仿宋"/>
          <w:color w:val="auto"/>
          <w:spacing w:val="0"/>
          <w:sz w:val="32"/>
          <w:szCs w:val="32"/>
        </w:rPr>
        <w:t>嘎查村，可与邻近行政嘎</w:t>
      </w:r>
      <w:r>
        <w:rPr>
          <w:rFonts w:hint="eastAsia" w:ascii="仿宋" w:hAnsi="仿宋" w:eastAsia="仿宋" w:cs="仿宋"/>
          <w:spacing w:val="0"/>
          <w:sz w:val="32"/>
          <w:szCs w:val="32"/>
        </w:rPr>
        <w:t>查村</w:t>
      </w:r>
      <w:r>
        <w:rPr>
          <w:rFonts w:hint="eastAsia" w:ascii="仿宋" w:hAnsi="仿宋" w:eastAsia="仿宋" w:cs="仿宋"/>
          <w:spacing w:val="-6"/>
          <w:sz w:val="32"/>
          <w:szCs w:val="32"/>
        </w:rPr>
        <w:t>联办卫生室。对医疗卫生人员不足的嘎查村卫生室，由医共体总医院分院向嘎查村卫生室派驻医生。由苏木乡镇转为街道的地区，原则上规划设置社区卫生服务站，不再设置嘎查村卫生室。</w:t>
      </w:r>
      <w:r>
        <w:rPr>
          <w:rFonts w:hint="eastAsia" w:ascii="楷体" w:hAnsi="楷体" w:eastAsia="楷体" w:cs="楷体"/>
          <w:spacing w:val="-6"/>
          <w:sz w:val="32"/>
          <w:szCs w:val="32"/>
          <w:lang w:val="en-US" w:eastAsia="zh-CN"/>
        </w:rPr>
        <w:t>（责任单位：自治区发展改革委、卫生健康委等部门按职责分工负责）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4.推进分级分层分流的重大疫情救治体系建设。加快推进重大疫情紧急医学救援基地建设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依托</w:t>
      </w:r>
      <w:r>
        <w:rPr>
          <w:rFonts w:hint="eastAsia" w:ascii="仿宋" w:hAnsi="仿宋" w:eastAsia="仿宋" w:cs="仿宋"/>
          <w:spacing w:val="0"/>
          <w:sz w:val="32"/>
          <w:szCs w:val="32"/>
          <w:lang w:eastAsia="zh-CN"/>
        </w:rPr>
        <w:t>内蒙古</w:t>
      </w:r>
      <w:r>
        <w:rPr>
          <w:rFonts w:hint="eastAsia" w:ascii="仿宋" w:hAnsi="仿宋" w:eastAsia="仿宋" w:cs="仿宋"/>
          <w:spacing w:val="0"/>
          <w:sz w:val="32"/>
          <w:szCs w:val="32"/>
        </w:rPr>
        <w:t>自治区人民医院和自治区第四医院建设自治区级疑难危重传染病救治中心、技术指导中心和远程会诊中心。加快推进东、西部疑难危重传染病紧急救援中心建设。加强盟市传染病定点医院和旗县（市</w:t>
      </w:r>
      <w:r>
        <w:rPr>
          <w:rFonts w:hint="eastAsia" w:ascii="仿宋" w:hAnsi="仿宋" w:eastAsia="仿宋" w:cs="仿宋"/>
          <w:spacing w:val="0"/>
          <w:sz w:val="32"/>
          <w:szCs w:val="32"/>
          <w:lang w:eastAsia="zh-CN"/>
        </w:rPr>
        <w:t>、区</w:t>
      </w:r>
      <w:r>
        <w:rPr>
          <w:rFonts w:hint="eastAsia" w:ascii="仿宋" w:hAnsi="仿宋" w:eastAsia="仿宋" w:cs="仿宋"/>
          <w:spacing w:val="0"/>
          <w:sz w:val="32"/>
          <w:szCs w:val="32"/>
        </w:rPr>
        <w:t>）医共体牵头医院或总医院相对独立的传染病区建设。结合实际布局建设一定数量快速转化的重大疫情救治后备医院。加强公立医疗卫生机构发热门诊、感染性疾病科、公共卫生科室、隔离留观床位和紧急救援后备医院标准化建设。加强二级及以上公立医疗机构重</w:t>
      </w:r>
      <w:r>
        <w:rPr>
          <w:rFonts w:hint="eastAsia" w:ascii="仿宋" w:hAnsi="仿宋" w:eastAsia="仿宋" w:cs="仿宋"/>
          <w:spacing w:val="6"/>
          <w:sz w:val="32"/>
          <w:szCs w:val="32"/>
        </w:rPr>
        <w:t>症监护病房建设，</w:t>
      </w:r>
      <w:r>
        <w:rPr>
          <w:rFonts w:hint="eastAsia" w:ascii="仿宋" w:hAnsi="仿宋" w:eastAsia="仿宋" w:cs="仿宋"/>
          <w:spacing w:val="6"/>
          <w:sz w:val="32"/>
          <w:szCs w:val="32"/>
          <w:lang w:eastAsia="zh-CN"/>
        </w:rPr>
        <w:t>持续加强标准化重症资源配置。</w:t>
      </w:r>
      <w:r>
        <w:rPr>
          <w:rFonts w:hint="eastAsia" w:ascii="楷体" w:hAnsi="楷体" w:eastAsia="楷体" w:cs="楷体"/>
          <w:spacing w:val="6"/>
          <w:sz w:val="32"/>
          <w:szCs w:val="32"/>
          <w:lang w:val="en-US" w:eastAsia="zh-CN"/>
        </w:rPr>
        <w:t>（责任单位：</w:t>
      </w:r>
      <w:r>
        <w:rPr>
          <w:rFonts w:hint="eastAsia" w:ascii="楷体" w:hAnsi="楷体" w:eastAsia="楷体" w:cs="楷体"/>
          <w:spacing w:val="0"/>
          <w:sz w:val="32"/>
          <w:szCs w:val="32"/>
          <w:lang w:val="en-US" w:eastAsia="zh-CN"/>
        </w:rPr>
        <w:t>自治区发展改革委、卫生健康委等部门按职责分工负责）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5.加快构建公共卫生服务体系。加快推进公共卫生服务体系改革</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争取国家区域公共卫生中心项目，依托综合能力强的盟市级疾病预防控制中心，布局自治区级区域公共卫生中心。加强疾病预防控制能力建设，提升防控能力、信息分析能力、检验检测能力和科学研究能力，打造专业化、现代化的三级疾病预防控制网络。加大精神卫生、卫生监督、健康促进、妇幼保健、职业卫生、采供血等公共卫生机构建设力度。加强医院、基层医疗卫生机构公共卫生科室标准化建设。构建资源联动、统一质控、信息共享的公共卫生实验室检测网络，提升检验检测能力。健全完善农村牧区和城市社区公共卫生治理体系，加快补齐基层公共卫生</w:t>
      </w:r>
      <w:r>
        <w:rPr>
          <w:rFonts w:hint="eastAsia" w:ascii="仿宋" w:hAnsi="仿宋" w:eastAsia="仿宋" w:cs="仿宋"/>
          <w:spacing w:val="6"/>
          <w:sz w:val="32"/>
          <w:szCs w:val="32"/>
        </w:rPr>
        <w:t>服务短板。按照</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早发现、早报告、早隔离、早治疗</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的要求，</w:t>
      </w:r>
      <w:r>
        <w:rPr>
          <w:rFonts w:hint="eastAsia" w:ascii="仿宋" w:hAnsi="仿宋" w:eastAsia="仿宋" w:cs="仿宋"/>
          <w:spacing w:val="0"/>
          <w:sz w:val="32"/>
          <w:szCs w:val="32"/>
        </w:rPr>
        <w:t>完善疫情监测哨点布局。完善预警制度，提升公共卫生风险评估和预警的前瞻性、精准性、高效性。构建区域协同、联防联控的传染病监测预警体系。完善公共卫生应急管理体系</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加强区域协同和部门协同联动，构建公共卫生大应急管理格局。分级分类组建公共卫生应急队伍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探索建立基层军医到地方急救机构执业培训机制。</w:t>
      </w:r>
      <w:r>
        <w:rPr>
          <w:rFonts w:hint="eastAsia" w:ascii="楷体" w:hAnsi="楷体" w:eastAsia="楷体" w:cs="楷体"/>
          <w:spacing w:val="0"/>
          <w:sz w:val="32"/>
          <w:szCs w:val="32"/>
          <w:lang w:val="en-US" w:eastAsia="zh-CN"/>
        </w:rPr>
        <w:t>（责任单位：自治区发展改革委、卫生健康委等部门按职责分工负责）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6.推进紧密型医疗联合体建设。在城市网格化布局建设由盟市级医院、</w:t>
      </w:r>
      <w:r>
        <w:rPr>
          <w:rFonts w:hint="eastAsia" w:ascii="仿宋" w:hAnsi="仿宋" w:eastAsia="仿宋" w:cs="仿宋"/>
          <w:spacing w:val="0"/>
          <w:sz w:val="32"/>
          <w:szCs w:val="32"/>
          <w:lang w:eastAsia="zh-CN"/>
        </w:rPr>
        <w:t>城市</w:t>
      </w:r>
      <w:r>
        <w:rPr>
          <w:rFonts w:hint="eastAsia" w:ascii="仿宋" w:hAnsi="仿宋" w:eastAsia="仿宋" w:cs="仿宋"/>
          <w:spacing w:val="0"/>
          <w:sz w:val="32"/>
          <w:szCs w:val="32"/>
        </w:rPr>
        <w:t>区级医院、社区卫生服务机构、护理院、专业康复机构、安宁疗护机构等组成的医疗联合体。探索</w:t>
      </w:r>
      <w:r>
        <w:rPr>
          <w:rFonts w:hint="eastAsia" w:ascii="仿宋" w:hAnsi="仿宋" w:eastAsia="仿宋" w:cs="仿宋"/>
          <w:spacing w:val="0"/>
          <w:sz w:val="32"/>
          <w:szCs w:val="32"/>
          <w:lang w:eastAsia="zh-CN"/>
        </w:rPr>
        <w:t>城市</w:t>
      </w:r>
      <w:r>
        <w:rPr>
          <w:rFonts w:hint="eastAsia" w:ascii="仿宋" w:hAnsi="仿宋" w:eastAsia="仿宋" w:cs="仿宋"/>
          <w:spacing w:val="0"/>
          <w:sz w:val="32"/>
          <w:szCs w:val="32"/>
        </w:rPr>
        <w:t>区级医院</w:t>
      </w:r>
      <w:r>
        <w:rPr>
          <w:rFonts w:hint="eastAsia" w:ascii="仿宋" w:hAnsi="仿宋" w:eastAsia="仿宋" w:cs="仿宋"/>
          <w:spacing w:val="6"/>
          <w:sz w:val="32"/>
          <w:szCs w:val="32"/>
        </w:rPr>
        <w:t>与社区卫生服务机构一体化管理等多种形式，形成</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以市带区、</w:t>
      </w:r>
      <w:r>
        <w:rPr>
          <w:rFonts w:hint="eastAsia" w:ascii="仿宋" w:hAnsi="仿宋" w:eastAsia="仿宋" w:cs="仿宋"/>
          <w:spacing w:val="0"/>
          <w:sz w:val="32"/>
          <w:szCs w:val="32"/>
        </w:rPr>
        <w:t>区社一体</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的多元化发展模式。在农村牧区以县域为单位发展紧密型医共体，由旗县级医院牵头，其他旗县级医疗卫生机构及苏木乡镇卫生院、社区卫生服务中心等为成员单位。县域内常住人口20万</w:t>
      </w:r>
      <w:r>
        <w:rPr>
          <w:rFonts w:hint="eastAsia" w:ascii="仿宋" w:hAnsi="仿宋" w:eastAsia="仿宋" w:cs="仿宋"/>
          <w:spacing w:val="0"/>
          <w:sz w:val="32"/>
          <w:szCs w:val="32"/>
          <w:lang w:eastAsia="zh-CN"/>
        </w:rPr>
        <w:t>人</w:t>
      </w:r>
      <w:r>
        <w:rPr>
          <w:rFonts w:hint="eastAsia" w:ascii="仿宋" w:hAnsi="仿宋" w:eastAsia="仿宋" w:cs="仿宋"/>
          <w:spacing w:val="0"/>
          <w:sz w:val="32"/>
          <w:szCs w:val="32"/>
        </w:rPr>
        <w:t>以下的，原则上组建一个医共体。实行</w:t>
      </w:r>
      <w:r>
        <w:rPr>
          <w:rFonts w:hint="eastAsia" w:ascii="仿宋" w:hAnsi="仿宋" w:eastAsia="仿宋" w:cs="仿宋"/>
          <w:color w:val="auto"/>
          <w:spacing w:val="0"/>
          <w:sz w:val="32"/>
          <w:szCs w:val="32"/>
        </w:rPr>
        <w:t>县乡</w:t>
      </w:r>
      <w:r>
        <w:rPr>
          <w:rFonts w:hint="eastAsia" w:ascii="仿宋" w:hAnsi="仿宋" w:eastAsia="仿宋" w:cs="仿宋"/>
          <w:spacing w:val="0"/>
          <w:sz w:val="32"/>
          <w:szCs w:val="32"/>
        </w:rPr>
        <w:t>一体化管</w:t>
      </w:r>
      <w:r>
        <w:rPr>
          <w:rFonts w:hint="eastAsia" w:ascii="仿宋" w:hAnsi="仿宋" w:eastAsia="仿宋" w:cs="仿宋"/>
          <w:spacing w:val="6"/>
          <w:sz w:val="32"/>
          <w:szCs w:val="32"/>
        </w:rPr>
        <w:t>理，逐步实现行政、人事、财务、业务、药品耗材、信息系统、绩效考核等统筹管理，加强医共体内部和医共体间床位、号源、</w:t>
      </w:r>
      <w:r>
        <w:rPr>
          <w:rFonts w:hint="eastAsia" w:ascii="仿宋" w:hAnsi="仿宋" w:eastAsia="仿宋" w:cs="仿宋"/>
          <w:spacing w:val="0"/>
          <w:sz w:val="32"/>
          <w:szCs w:val="32"/>
        </w:rPr>
        <w:t>设备的统筹使用。</w:t>
      </w:r>
      <w:r>
        <w:rPr>
          <w:rFonts w:hint="eastAsia" w:ascii="仿宋" w:hAnsi="仿宋" w:eastAsia="仿宋" w:cs="仿宋"/>
          <w:color w:val="auto"/>
          <w:spacing w:val="0"/>
          <w:sz w:val="32"/>
          <w:szCs w:val="32"/>
          <w:lang w:eastAsia="zh-CN"/>
        </w:rPr>
        <w:t>将</w:t>
      </w:r>
      <w:r>
        <w:rPr>
          <w:rFonts w:hint="eastAsia" w:ascii="仿宋" w:hAnsi="仿宋" w:eastAsia="仿宋" w:cs="仿宋"/>
          <w:color w:val="auto"/>
          <w:spacing w:val="0"/>
          <w:sz w:val="32"/>
          <w:szCs w:val="32"/>
        </w:rPr>
        <w:t>政府</w:t>
      </w:r>
      <w:r>
        <w:rPr>
          <w:rFonts w:hint="eastAsia" w:ascii="仿宋" w:hAnsi="仿宋" w:eastAsia="仿宋" w:cs="仿宋"/>
          <w:color w:val="auto"/>
          <w:spacing w:val="0"/>
          <w:sz w:val="32"/>
          <w:szCs w:val="32"/>
          <w:lang w:eastAsia="zh-CN"/>
        </w:rPr>
        <w:t>举办</w:t>
      </w:r>
      <w:r>
        <w:rPr>
          <w:rFonts w:hint="eastAsia" w:ascii="仿宋" w:hAnsi="仿宋" w:eastAsia="仿宋" w:cs="仿宋"/>
          <w:color w:val="auto"/>
          <w:spacing w:val="0"/>
          <w:sz w:val="32"/>
          <w:szCs w:val="32"/>
        </w:rPr>
        <w:t>的嘎查村卫生室纳入医共体</w:t>
      </w:r>
      <w:r>
        <w:rPr>
          <w:rFonts w:hint="eastAsia" w:ascii="仿宋" w:hAnsi="仿宋" w:eastAsia="仿宋" w:cs="仿宋"/>
          <w:spacing w:val="0"/>
          <w:sz w:val="32"/>
          <w:szCs w:val="32"/>
        </w:rPr>
        <w:t>，实行乡村一体化管理，实现财务、业务、绩效考评等统一管理。</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 xml:space="preserve">    7.加强中医药（蒙医药）服务体系建设。推动落实《</w:t>
      </w:r>
      <w:r>
        <w:rPr>
          <w:rFonts w:hint="eastAsia" w:ascii="仿宋" w:hAnsi="仿宋" w:eastAsia="仿宋" w:cs="仿宋"/>
          <w:spacing w:val="0"/>
          <w:sz w:val="32"/>
          <w:szCs w:val="32"/>
          <w:lang w:eastAsia="zh-CN"/>
        </w:rPr>
        <w:t>国务院办公厅关于印发</w:t>
      </w:r>
      <w:r>
        <w:rPr>
          <w:rFonts w:hint="eastAsia" w:ascii="仿宋" w:hAnsi="仿宋" w:eastAsia="仿宋" w:cs="仿宋"/>
          <w:spacing w:val="0"/>
          <w:sz w:val="32"/>
          <w:szCs w:val="32"/>
        </w:rPr>
        <w:t>中医药振兴发展重大工程实施方案</w:t>
      </w:r>
      <w:r>
        <w:rPr>
          <w:rFonts w:hint="eastAsia" w:ascii="仿宋" w:hAnsi="仿宋" w:eastAsia="仿宋" w:cs="仿宋"/>
          <w:spacing w:val="0"/>
          <w:sz w:val="32"/>
          <w:szCs w:val="32"/>
          <w:lang w:eastAsia="zh-CN"/>
        </w:rPr>
        <w:t>的通知</w:t>
      </w:r>
      <w:r>
        <w:rPr>
          <w:rFonts w:hint="eastAsia" w:ascii="仿宋" w:hAnsi="仿宋" w:eastAsia="仿宋" w:cs="仿宋"/>
          <w:spacing w:val="0"/>
          <w:sz w:val="32"/>
          <w:szCs w:val="32"/>
        </w:rPr>
        <w:t>》（国办发〔2023〕3号）</w:t>
      </w:r>
      <w:r>
        <w:rPr>
          <w:rFonts w:hint="eastAsia" w:ascii="仿宋" w:hAnsi="仿宋" w:eastAsia="仿宋" w:cs="仿宋"/>
          <w:spacing w:val="0"/>
          <w:sz w:val="32"/>
          <w:szCs w:val="32"/>
          <w:lang w:eastAsia="zh-CN"/>
        </w:rPr>
        <w:t>要求</w:t>
      </w:r>
      <w:r>
        <w:rPr>
          <w:rFonts w:hint="eastAsia" w:ascii="仿宋" w:hAnsi="仿宋" w:eastAsia="仿宋" w:cs="仿宋"/>
          <w:spacing w:val="0"/>
          <w:sz w:val="32"/>
          <w:szCs w:val="32"/>
        </w:rPr>
        <w:t>，实施中医药（蒙医药）重大工程建设项目，打造1个国家区域中医医疗中心、1个国家中医药传承创新中心、1个国家中医疫病防治基地、1个国家中西医协同“旗舰”医院、6个国家中医特色重点医院和30个中医（蒙医）互联网医院。强化盟市、旗县级中医（蒙医）医院和基层医疗卫生机</w:t>
      </w:r>
      <w:r>
        <w:rPr>
          <w:rFonts w:hint="eastAsia" w:ascii="仿宋" w:hAnsi="仿宋" w:eastAsia="仿宋" w:cs="仿宋"/>
          <w:spacing w:val="6"/>
          <w:sz w:val="32"/>
          <w:szCs w:val="32"/>
        </w:rPr>
        <w:t>构中医（蒙医）科室设置和基础建设，强化以中医药（蒙医药）</w:t>
      </w:r>
      <w:r>
        <w:rPr>
          <w:rFonts w:hint="eastAsia" w:ascii="仿宋" w:hAnsi="仿宋" w:eastAsia="仿宋" w:cs="仿宋"/>
          <w:spacing w:val="0"/>
          <w:sz w:val="32"/>
          <w:szCs w:val="32"/>
        </w:rPr>
        <w:t>服务为主的办院模式和服务功能，力争实现盟市</w:t>
      </w:r>
      <w:r>
        <w:rPr>
          <w:rFonts w:hint="eastAsia" w:ascii="仿宋" w:hAnsi="仿宋" w:eastAsia="仿宋" w:cs="仿宋"/>
          <w:spacing w:val="0"/>
          <w:sz w:val="32"/>
          <w:szCs w:val="32"/>
          <w:lang w:eastAsia="zh-CN"/>
        </w:rPr>
        <w:t>举办的</w:t>
      </w:r>
      <w:r>
        <w:rPr>
          <w:rFonts w:hint="eastAsia" w:ascii="仿宋" w:hAnsi="仿宋" w:eastAsia="仿宋" w:cs="仿宋"/>
          <w:spacing w:val="0"/>
          <w:sz w:val="32"/>
          <w:szCs w:val="32"/>
        </w:rPr>
        <w:t>三级甲等中医（蒙医）医院全覆盖、旗县</w:t>
      </w:r>
      <w:r>
        <w:rPr>
          <w:rFonts w:hint="eastAsia" w:ascii="仿宋" w:hAnsi="仿宋" w:eastAsia="仿宋" w:cs="仿宋"/>
          <w:spacing w:val="0"/>
          <w:sz w:val="32"/>
          <w:szCs w:val="32"/>
          <w:lang w:eastAsia="zh-CN"/>
        </w:rPr>
        <w:t>举办的</w:t>
      </w:r>
      <w:r>
        <w:rPr>
          <w:rFonts w:hint="eastAsia" w:ascii="仿宋" w:hAnsi="仿宋" w:eastAsia="仿宋" w:cs="仿宋"/>
          <w:spacing w:val="0"/>
          <w:sz w:val="32"/>
          <w:szCs w:val="32"/>
        </w:rPr>
        <w:t>中医（蒙医）医院全覆盖、基层医疗卫生机构中医馆（蒙医馆）全覆盖。推进旗县级及以上公立综合医院中医（蒙医）科全覆盖、专科医院和妇幼保健机构中医药（蒙医药）服务全覆盖。支持中医（蒙医）医院牵头建设</w:t>
      </w:r>
      <w:r>
        <w:rPr>
          <w:rFonts w:hint="eastAsia" w:ascii="仿宋" w:hAnsi="仿宋" w:eastAsia="仿宋" w:cs="仿宋"/>
          <w:spacing w:val="6"/>
          <w:sz w:val="32"/>
          <w:szCs w:val="32"/>
        </w:rPr>
        <w:t>医疗联合体，组建基层中医药（蒙医药）特色健康服务综合体，</w:t>
      </w:r>
      <w:r>
        <w:rPr>
          <w:rFonts w:hint="eastAsia" w:ascii="仿宋" w:hAnsi="仿宋" w:eastAsia="仿宋" w:cs="仿宋"/>
          <w:spacing w:val="0"/>
          <w:sz w:val="32"/>
          <w:szCs w:val="32"/>
        </w:rPr>
        <w:t>全面提升中医药（蒙医药）治未病、疾病治疗、康复、公共卫生、健康宣教等整体服务水平。继续加强中医（蒙医）优势专科专病建设，支持三级中医（蒙医）医院建设30个国家中医优势专科、二级中医（蒙医）医院建设100个自治区级中医（蒙医）重点专科。在二级及以上公立综合医院、中西医结合医院、妇幼保健机构打造20个中西医协同“旗舰”科室。支持中医（蒙医）医院制剂能力建设，打造区域制剂中心，推动中药</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蒙药</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产业高质量发展。</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8.完善接续性服务体系建设。研究制定以机构为支撑、社区为平台、居家为基础的全区接续性服务体系建设与发展政策措施。健全治疗—康复—长期护理的服务链，通过支持医疗资源丰富的地区将部分公立医疗机构转型为护理院和康复医院、支持社会力量举办等方式，增加康复、护理等专科医疗机构数量，扩大康复和护理等接续性服务供给。聚焦“一老一小”健康服务和照护服务需求，扩大康复医疗、老年护理、残疾人护理、母婴护理、社区护理、安宁疗护及营养支持等服务供给</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开展公立医疗卫生机构托育服务试点工作。完善残疾人康复服务体系，加强残疾人康复和托养机构设施建设。实现</w:t>
      </w:r>
      <w:r>
        <w:rPr>
          <w:rFonts w:hint="eastAsia" w:ascii="仿宋" w:hAnsi="仿宋" w:eastAsia="仿宋" w:cs="仿宋"/>
          <w:color w:val="auto"/>
          <w:spacing w:val="0"/>
          <w:sz w:val="32"/>
          <w:szCs w:val="32"/>
        </w:rPr>
        <w:t>社会办医疗机构与</w:t>
      </w:r>
      <w:r>
        <w:rPr>
          <w:rFonts w:hint="eastAsia" w:ascii="仿宋" w:hAnsi="仿宋" w:eastAsia="仿宋" w:cs="仿宋"/>
          <w:spacing w:val="0"/>
          <w:sz w:val="32"/>
          <w:szCs w:val="32"/>
        </w:rPr>
        <w:t>公立医院同质化管理，加强社会办医疗机构质控体系建设。</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（二）加强分工合作，提升动力，推进治理体系现代化。</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9.促进医养结合。研究制定全区医养结合机构设置规划，合理布局养老机构与医疗机构老年医学科、护理院、康复疗养机构、安宁疗护机构等。建立健康管理、医疗、康复、护理服务以及养老照护服务之间无缝衔接机制。高标准建设农村牧区幸福院和社区日间照料中心，推行居家养老、社区养老。推动基层医疗卫生机构支持老年人医疗照护、家庭病床、居家护理等服务。开展失能老年人“健康入户关怀行动”，提供上门健康服务。建立健全医疗卫生机构与养老机构业务协作机制，积极开通预约就诊、急诊急救绿色通道，提升养老机构举办的医疗机构开展医疗服务和</w:t>
      </w:r>
      <w:r>
        <w:rPr>
          <w:rFonts w:hint="eastAsia" w:ascii="仿宋" w:hAnsi="仿宋" w:eastAsia="仿宋" w:cs="仿宋"/>
          <w:spacing w:val="6"/>
          <w:sz w:val="32"/>
          <w:szCs w:val="32"/>
        </w:rPr>
        <w:t>药事管理能力，协同做好老年人慢性病管理、康复和护理服务。</w:t>
      </w:r>
      <w:r>
        <w:rPr>
          <w:rFonts w:hint="eastAsia" w:ascii="仿宋" w:hAnsi="仿宋" w:eastAsia="仿宋" w:cs="仿宋"/>
          <w:spacing w:val="0"/>
          <w:sz w:val="32"/>
          <w:szCs w:val="32"/>
        </w:rPr>
        <w:t>全面推进老年友善医疗机构建设，帮助更多老年人跨越就医“数字鸿沟”。提升老年疾病诊治能力，到2025年，二级及以上公立综合性医院设立老年医学科比例达90%以上。</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10.</w:t>
      </w:r>
      <w:r>
        <w:rPr>
          <w:rFonts w:hint="eastAsia" w:ascii="仿宋" w:hAnsi="仿宋" w:eastAsia="仿宋" w:cs="仿宋"/>
          <w:spacing w:val="6"/>
          <w:sz w:val="32"/>
          <w:szCs w:val="32"/>
        </w:rPr>
        <w:t>健全家庭医生制度。以基层医疗卫生机构为主要平台，</w:t>
      </w:r>
      <w:r>
        <w:rPr>
          <w:rFonts w:hint="eastAsia" w:ascii="仿宋" w:hAnsi="仿宋" w:eastAsia="仿宋" w:cs="仿宋"/>
          <w:spacing w:val="0"/>
          <w:sz w:val="32"/>
          <w:szCs w:val="32"/>
        </w:rPr>
        <w:t>建立以全科医生为主体、全科专科有效联动、医防有机融合的家庭医生签约服务模式，提供综合连续的公共卫生、基本医疗和健康管理服务。引导二级及以上医院全科医生作为家庭医生或加入基层家庭医生团队，在基层医疗卫生机构提供签约、诊疗等服务。完善签约服务筹资机制，有条件的地区可探索将签约居民的医保</w:t>
      </w:r>
      <w:r>
        <w:rPr>
          <w:rFonts w:hint="eastAsia" w:ascii="仿宋" w:hAnsi="仿宋" w:eastAsia="仿宋" w:cs="仿宋"/>
          <w:spacing w:val="-6"/>
          <w:sz w:val="32"/>
          <w:szCs w:val="32"/>
        </w:rPr>
        <w:t>门诊统筹基金按人头支付给基层医疗卫生机构或家庭医生团队。</w:t>
      </w:r>
      <w:r>
        <w:rPr>
          <w:rFonts w:hint="eastAsia" w:ascii="仿宋" w:hAnsi="仿宋" w:eastAsia="仿宋" w:cs="仿宋"/>
          <w:spacing w:val="0"/>
          <w:sz w:val="32"/>
          <w:szCs w:val="32"/>
        </w:rPr>
        <w:t>健全签约服务收付费机制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落实签约居民在就医、转诊、用药、医保等方面的差异化政策，逐步形成家庭医生首诊、转诊和下转接诊的服务模式。</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11.健全现代医院管理制度。坚持和加强党对医院工作的全面领导，把党的领导融入医院治理全过程各方面各环节。健全和完善公立医院治理机制，健全公立医院管办分开的多种有效实现形式，统筹履行政府办医职责。按照权责一致原则，进一步理顺高校附属医院管理体制机制，</w:t>
      </w:r>
      <w:r>
        <w:rPr>
          <w:rFonts w:hint="eastAsia" w:ascii="仿宋" w:hAnsi="仿宋" w:eastAsia="仿宋" w:cs="仿宋"/>
          <w:spacing w:val="0"/>
          <w:sz w:val="32"/>
          <w:szCs w:val="32"/>
          <w:lang w:eastAsia="zh-CN"/>
        </w:rPr>
        <w:t>自治区卫生健康委作为</w:t>
      </w:r>
      <w:r>
        <w:rPr>
          <w:rFonts w:hint="eastAsia" w:ascii="仿宋" w:hAnsi="仿宋" w:eastAsia="仿宋" w:cs="仿宋"/>
          <w:spacing w:val="0"/>
          <w:sz w:val="32"/>
          <w:szCs w:val="32"/>
        </w:rPr>
        <w:t>行业主管部门全过程参与包括医学高校在内的高校附属医院目标责任制考核。支持国有企业办医疗机构完善现代医院管理制度，探索建立适应社会发展需要、符合行业特点的治理机制。以</w:t>
      </w:r>
      <w:r>
        <w:rPr>
          <w:rFonts w:hint="eastAsia" w:ascii="仿宋" w:hAnsi="仿宋" w:eastAsia="仿宋" w:cs="仿宋"/>
          <w:spacing w:val="0"/>
          <w:sz w:val="32"/>
          <w:szCs w:val="32"/>
          <w:lang w:eastAsia="zh-CN"/>
        </w:rPr>
        <w:t>各医院</w:t>
      </w:r>
      <w:r>
        <w:rPr>
          <w:rFonts w:hint="eastAsia" w:ascii="仿宋" w:hAnsi="仿宋" w:eastAsia="仿宋" w:cs="仿宋"/>
          <w:spacing w:val="0"/>
          <w:sz w:val="32"/>
          <w:szCs w:val="32"/>
        </w:rPr>
        <w:t>章程为统领，规范公立医院内部治理结构和权力运行规则，提高医院运</w:t>
      </w:r>
      <w:r>
        <w:rPr>
          <w:rFonts w:hint="eastAsia" w:ascii="仿宋" w:hAnsi="仿宋" w:eastAsia="仿宋" w:cs="仿宋"/>
          <w:spacing w:val="6"/>
          <w:sz w:val="32"/>
          <w:szCs w:val="32"/>
        </w:rPr>
        <w:t>行效率。实行全面预算绩效管理</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全面开展公立医院绩效考核，</w:t>
      </w:r>
      <w:r>
        <w:rPr>
          <w:rFonts w:hint="eastAsia" w:ascii="仿宋" w:hAnsi="仿宋" w:eastAsia="仿宋" w:cs="仿宋"/>
          <w:spacing w:val="0"/>
          <w:sz w:val="32"/>
          <w:szCs w:val="32"/>
        </w:rPr>
        <w:t>建立全区年度数据动态监测和考核评审制度，按照管理层级和机构类型分级分类实施考核评价，力争1-2所综合性医院进入全国百强。</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12.健全防治结合制度。健全和完善防治结合政策体系</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创新医防协同、医防融合机制。公立医疗机构设立公共卫生科等直接从事疾病预防控制工作的科室，制定医疗卫生机构公共卫生责任清单，全面推进医疗机构和专业公共卫生机构深度协作，建立人才流动、交叉培训、服务融合、信息共享等机制。探索疾病预防控制专业人员参与医疗联合体工作，建立社区疾病预防控制片区责任制，完善网格化基层疾病预防控制网络。实施城乡社区慢病医防融合能力提升工程，形成“病前主动防，病后科学管，跟踪服务不间断”的一体化健康管理服务。深入开展健康内蒙古行动，</w:t>
      </w:r>
      <w:r>
        <w:rPr>
          <w:rFonts w:hint="eastAsia" w:ascii="仿宋" w:hAnsi="仿宋" w:eastAsia="仿宋" w:cs="仿宋"/>
          <w:spacing w:val="0"/>
          <w:sz w:val="32"/>
          <w:szCs w:val="32"/>
          <w:lang w:eastAsia="zh-CN"/>
        </w:rPr>
        <w:t>引导</w:t>
      </w:r>
      <w:r>
        <w:rPr>
          <w:rFonts w:hint="eastAsia" w:ascii="仿宋" w:hAnsi="仿宋" w:eastAsia="仿宋" w:cs="仿宋"/>
          <w:spacing w:val="0"/>
          <w:sz w:val="32"/>
          <w:szCs w:val="32"/>
        </w:rPr>
        <w:t>相关部门及社区、家庭和个人履行各自健康责任。</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13.完善编制和人事制度。合理制定并落实公立医疗卫生机构人员编制标准，健全完善动态调整机制。探索医疗联合体内公立医疗卫生机构编制分别核定、统筹使用，人员统一招聘和统一管理</w:t>
      </w:r>
      <w:r>
        <w:rPr>
          <w:rFonts w:hint="eastAsia" w:ascii="仿宋" w:hAnsi="仿宋" w:eastAsia="仿宋" w:cs="仿宋"/>
          <w:spacing w:val="0"/>
          <w:sz w:val="32"/>
          <w:szCs w:val="32"/>
          <w:lang w:eastAsia="zh-CN"/>
        </w:rPr>
        <w:t>模式</w:t>
      </w:r>
      <w:r>
        <w:rPr>
          <w:rFonts w:hint="eastAsia" w:ascii="仿宋" w:hAnsi="仿宋" w:eastAsia="仿宋" w:cs="仿宋"/>
          <w:spacing w:val="0"/>
          <w:sz w:val="32"/>
          <w:szCs w:val="32"/>
        </w:rPr>
        <w:t>。改革公立医院岗位管理制度，科学动态编制岗位责任书。落实公立医院用人自主权，按规定自主确定岗位总量和岗位标准。优化基层医务人员招聘标准和程序</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健全旗县级及以下医疗卫生机构岗位管理和人员聘用制度，以旗县（市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区）紧密型</w:t>
      </w:r>
      <w:r>
        <w:rPr>
          <w:rFonts w:hint="eastAsia" w:ascii="仿宋" w:hAnsi="仿宋" w:eastAsia="仿宋" w:cs="仿宋"/>
          <w:spacing w:val="6"/>
          <w:sz w:val="32"/>
          <w:szCs w:val="32"/>
        </w:rPr>
        <w:t>医联体为招聘单元</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一体化配置和管理基层医疗卫生机构岗位。</w:t>
      </w:r>
      <w:r>
        <w:rPr>
          <w:rFonts w:hint="eastAsia" w:ascii="仿宋" w:hAnsi="仿宋" w:eastAsia="仿宋" w:cs="仿宋"/>
          <w:spacing w:val="0"/>
          <w:sz w:val="32"/>
          <w:szCs w:val="32"/>
        </w:rPr>
        <w:t>深化以品德、能力、业绩为导向的卫生专业技术人员职称制度改革</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健全符合基层卫生人才特点的职称晋升系列和评审标准。持续优化评审流程，充分利用医疗卫生信息化系统，全面推行网报、网审、网评的全流程数字化管理。</w:t>
      </w:r>
      <w:r>
        <w:rPr>
          <w:rFonts w:hint="eastAsia" w:ascii="楷体" w:hAnsi="楷体" w:eastAsia="楷体" w:cs="楷体"/>
          <w:spacing w:val="0"/>
          <w:sz w:val="32"/>
          <w:szCs w:val="32"/>
          <w:lang w:val="en-US" w:eastAsia="zh-CN"/>
        </w:rPr>
        <w:t>（责任单位：自治区党委编办、卫生健康委、人力资源社会保障厅等部门按职责分工负责）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14.持续深化薪酬制度改革。全面落实“允许医疗卫生机构突破现行事业单位工资调控水平，允许医疗服务收入扣除成本并按规定提取各项基金后主要用于人员奖励”要求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合理核定基层医疗卫生机构绩效工资总量和水平。全面深化公立医院薪酬制度改革，健全完善与公立医院公益性相匹配的绩效工资动态增长机制，优化完善薪酬分配办法，在核定的绩效工资总量内，探索实行年薪制、协议工资制、项目工资等灵活多样的分配形式，体现劳动技术价值和公益属性。合理核定专业公共卫生机构绩效工资总量和水平，切实保障公共卫生医师待遇。医疗机构公共卫生科室人员收入不低于所在医疗机构人员平均工资水平，落实国家相应津贴补贴制度。保障乡村医生待遇，分类解决乡村医生养老和医疗保障问题。</w:t>
      </w:r>
      <w:r>
        <w:rPr>
          <w:rFonts w:hint="eastAsia" w:ascii="楷体" w:hAnsi="楷体" w:eastAsia="楷体" w:cs="楷体"/>
          <w:spacing w:val="0"/>
          <w:sz w:val="32"/>
          <w:szCs w:val="32"/>
          <w:lang w:val="en-US" w:eastAsia="zh-CN"/>
        </w:rPr>
        <w:t>（责任单位：自治区人力资源社会保障厅、卫生健康委、财政厅等部门按职责分工负责）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15.完善政府投入机制。健全基层卫生投入机制，加大对基</w:t>
      </w:r>
      <w:r>
        <w:rPr>
          <w:rFonts w:hint="eastAsia" w:ascii="仿宋" w:hAnsi="仿宋" w:eastAsia="仿宋" w:cs="仿宋"/>
          <w:spacing w:val="6"/>
          <w:sz w:val="32"/>
          <w:szCs w:val="32"/>
        </w:rPr>
        <w:t>层医疗卫生服务的投入力度，强化基层基本公共卫生服务能力。</w:t>
      </w:r>
      <w:r>
        <w:rPr>
          <w:rFonts w:hint="eastAsia" w:ascii="仿宋" w:hAnsi="仿宋" w:eastAsia="仿宋" w:cs="仿宋"/>
          <w:spacing w:val="0"/>
          <w:sz w:val="32"/>
          <w:szCs w:val="32"/>
        </w:rPr>
        <w:t>研究建立结构合理的政府投入机制，健全与公立医院高质量发展和经济发展相适应的公立医院投入政策。研究制定公立医院政策性亏损补偿办法和债务化解与管理办法。建立适应地区发展稳定的公共卫生事业投入机制，将公共卫生事业投入适度向基层公共卫生、疾控机构和“林牧边稀”特殊地区结构性倾斜。建立持续稳定的中医药（蒙医药）发展投入机制，加大投入倾斜力度。建立政府大型医用设备配置规划编制和政府投入、设备集中采购及监管衔接机制。</w:t>
      </w:r>
      <w:r>
        <w:rPr>
          <w:rFonts w:hint="eastAsia" w:ascii="楷体" w:hAnsi="楷体" w:eastAsia="楷体" w:cs="楷体"/>
          <w:spacing w:val="0"/>
          <w:sz w:val="32"/>
          <w:szCs w:val="32"/>
          <w:lang w:val="en-US" w:eastAsia="zh-CN"/>
        </w:rPr>
        <w:t>（责任单位：自治区财政厅、卫生健康委等部门按职责分工负责）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16.健全服务购买机制。深化医疗服务价格改革，建立分类管理、医院参与、科学确定、动态调整的医疗服务价格机制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完善“互联网+”医疗服务、上门提供医疗服务等收费政策</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持续推进盟市医疗服务价格动态调整。建立常态化价格调整预期效果评估机制，强化公立医院运行、次均医疗费用增幅、医疗收入结构变化和医保基金运行等指标监测和分析。推进多元复合式医保支付方式改革，按病种付费覆盖所有符合条件的开展住院服务的医疗机构。健全符合中医药（蒙医药）特点的医保支付方式。2025年底前在全区</w:t>
      </w:r>
      <w:r>
        <w:rPr>
          <w:rFonts w:hint="eastAsia" w:ascii="仿宋" w:hAnsi="仿宋" w:eastAsia="仿宋" w:cs="仿宋"/>
          <w:spacing w:val="0"/>
          <w:sz w:val="32"/>
          <w:szCs w:val="32"/>
          <w:lang w:eastAsia="zh-CN"/>
        </w:rPr>
        <w:t>至少</w:t>
      </w:r>
      <w:r>
        <w:rPr>
          <w:rFonts w:hint="eastAsia" w:ascii="仿宋" w:hAnsi="仿宋" w:eastAsia="仿宋" w:cs="仿宋"/>
          <w:spacing w:val="0"/>
          <w:sz w:val="32"/>
          <w:szCs w:val="32"/>
        </w:rPr>
        <w:t>6个旗县</w:t>
      </w:r>
      <w:r>
        <w:rPr>
          <w:rFonts w:hint="eastAsia" w:ascii="仿宋" w:hAnsi="仿宋" w:eastAsia="仿宋" w:cs="仿宋"/>
          <w:spacing w:val="0"/>
          <w:sz w:val="32"/>
          <w:szCs w:val="32"/>
          <w:lang w:eastAsia="zh-CN"/>
        </w:rPr>
        <w:t>（市、</w:t>
      </w:r>
      <w:r>
        <w:rPr>
          <w:rFonts w:hint="eastAsia" w:ascii="仿宋" w:hAnsi="仿宋" w:eastAsia="仿宋" w:cs="仿宋"/>
          <w:spacing w:val="0"/>
          <w:sz w:val="32"/>
          <w:szCs w:val="32"/>
        </w:rPr>
        <w:t>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探索开展紧密型医疗联合体总额付费下的多元复合式医保支付方式。优化基层医疗机构医保支付政策，逐步提高基层医疗卫生机构提供服务在医疗服务总量和医保基金支付中的占比。建立长期护理保险制度，完善居家远程医疗和监护、家庭病床、居家护理、签约服务等居家医疗服务支付政策。</w:t>
      </w:r>
      <w:r>
        <w:rPr>
          <w:rFonts w:hint="eastAsia" w:ascii="楷体" w:hAnsi="楷体" w:eastAsia="楷体" w:cs="楷体"/>
          <w:spacing w:val="0"/>
          <w:sz w:val="32"/>
          <w:szCs w:val="32"/>
          <w:lang w:val="en-US" w:eastAsia="zh-CN"/>
        </w:rPr>
        <w:t>（责任单位：自治区医保局、卫生健康委等部门按职责分工负责）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（三）坚持高质量发展，加强人才队伍建设，提升现代化管理水平。</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17.提升卫生健康人才能力。发展壮大医疗卫生队伍，把工</w:t>
      </w:r>
      <w:r>
        <w:rPr>
          <w:rFonts w:hint="eastAsia" w:ascii="仿宋" w:hAnsi="仿宋" w:eastAsia="仿宋" w:cs="仿宋"/>
          <w:spacing w:val="6"/>
          <w:sz w:val="32"/>
          <w:szCs w:val="32"/>
        </w:rPr>
        <w:t>作重点放在农村</w:t>
      </w:r>
      <w:r>
        <w:rPr>
          <w:rFonts w:hint="eastAsia" w:ascii="仿宋" w:hAnsi="仿宋" w:eastAsia="仿宋" w:cs="仿宋"/>
          <w:spacing w:val="6"/>
          <w:sz w:val="32"/>
          <w:szCs w:val="32"/>
          <w:lang w:eastAsia="zh-CN"/>
        </w:rPr>
        <w:t>牧区</w:t>
      </w:r>
      <w:r>
        <w:rPr>
          <w:rFonts w:hint="eastAsia" w:ascii="仿宋" w:hAnsi="仿宋" w:eastAsia="仿宋" w:cs="仿宋"/>
          <w:spacing w:val="6"/>
          <w:sz w:val="32"/>
          <w:szCs w:val="32"/>
        </w:rPr>
        <w:t>和社区。实施卫生健康人才培养专项行动，</w:t>
      </w:r>
      <w:r>
        <w:rPr>
          <w:rFonts w:hint="eastAsia" w:ascii="仿宋" w:hAnsi="仿宋" w:eastAsia="仿宋" w:cs="仿宋"/>
          <w:spacing w:val="0"/>
          <w:sz w:val="32"/>
          <w:szCs w:val="32"/>
        </w:rPr>
        <w:t>加大基层、边远地区和紧缺专业人才培养扶持力度。开展基层人才培养示范区建设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实施大学生乡村医生定向培养专项计划，招聘医学专业高校毕业生免试注册为乡村医生到嘎查村卫生室服务。落实执业医师服务基层制度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实施“万名医护下基层”项目，鼓励二</w:t>
      </w:r>
      <w:r>
        <w:rPr>
          <w:rFonts w:hint="eastAsia" w:ascii="仿宋" w:hAnsi="仿宋" w:eastAsia="仿宋" w:cs="仿宋"/>
          <w:spacing w:val="0"/>
          <w:sz w:val="32"/>
          <w:szCs w:val="32"/>
          <w:lang w:eastAsia="zh-CN"/>
        </w:rPr>
        <w:t>级及以上</w:t>
      </w:r>
      <w:r>
        <w:rPr>
          <w:rFonts w:hint="eastAsia" w:ascii="仿宋" w:hAnsi="仿宋" w:eastAsia="仿宋" w:cs="仿宋"/>
          <w:spacing w:val="0"/>
          <w:sz w:val="32"/>
          <w:szCs w:val="32"/>
        </w:rPr>
        <w:t>医院及确有专长的医师（含在职医师、退休医师）到基层医疗卫生机构开设特色科室（门诊）。激励乡村医生参加学历教育、考取执业（助理）医师资格，推动乡村医生向执业（助理）医师转化。加强公共卫生、全科、儿科、重症医学、呼吸、精神科、传染病、老年医学等领域急需紧缺专业人才培养培训，完善公共卫生与临床医学复合型人才培养机制。加大药师队伍建设力度，按规定配备临床药师。实施医学高层次人才计划，培养一批领军人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推动建立医疗卫生首席专家制度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启动实施医疗卫生领域领导干部能力提升工程。实施中医药（蒙医药）和中（蒙）西医结合特色人才培养工程，加强国医大师、岐黄学者、名老中医（蒙医）、老药工等传承工作室建设。深入实施东西部协作医疗卫生高层次人才能力提升计划，每年选派不少于300名骨干医务人员赴北上广和黑吉辽等地医疗卫生机构开展高端研学和培训。引进一批北上广高层次医疗卫生专家入蒙挂职任职。完善各类专业公共卫生机构人员配备标准，实行岗位分级分类管理，提高专业技术人才比例。</w:t>
      </w:r>
      <w:r>
        <w:rPr>
          <w:rFonts w:hint="eastAsia" w:ascii="楷体" w:hAnsi="楷体" w:eastAsia="楷体" w:cs="楷体"/>
          <w:spacing w:val="0"/>
          <w:sz w:val="32"/>
          <w:szCs w:val="32"/>
          <w:lang w:val="en-US" w:eastAsia="zh-CN"/>
        </w:rPr>
        <w:t>（责任单位：自治区卫生健康委、人力资源社会保障厅等部门按职责分工负责）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18.提升基层医疗卫生机构管理能力。实施基层临床特色科室建设工程，提升常见病、多发病等基本医疗服务能力。提升苏</w:t>
      </w:r>
      <w:r>
        <w:rPr>
          <w:rFonts w:hint="eastAsia" w:ascii="仿宋" w:hAnsi="仿宋" w:eastAsia="仿宋" w:cs="仿宋"/>
          <w:spacing w:val="-6"/>
          <w:sz w:val="32"/>
          <w:szCs w:val="32"/>
        </w:rPr>
        <w:t>木乡镇卫生院、社区医院二级及以下常规手术等医疗服务能力。</w:t>
      </w:r>
      <w:r>
        <w:rPr>
          <w:rFonts w:hint="eastAsia" w:ascii="仿宋" w:hAnsi="仿宋" w:eastAsia="仿宋" w:cs="仿宋"/>
          <w:spacing w:val="0"/>
          <w:sz w:val="32"/>
          <w:szCs w:val="32"/>
        </w:rPr>
        <w:t>到2025年，50%以上</w:t>
      </w:r>
      <w:r>
        <w:rPr>
          <w:rFonts w:hint="eastAsia" w:ascii="仿宋" w:hAnsi="仿宋" w:eastAsia="仿宋" w:cs="仿宋"/>
          <w:spacing w:val="0"/>
          <w:sz w:val="32"/>
          <w:szCs w:val="32"/>
          <w:lang w:eastAsia="zh-CN"/>
        </w:rPr>
        <w:t>的</w:t>
      </w:r>
      <w:r>
        <w:rPr>
          <w:rFonts w:hint="eastAsia" w:ascii="仿宋" w:hAnsi="仿宋" w:eastAsia="仿宋" w:cs="仿宋"/>
          <w:spacing w:val="0"/>
          <w:sz w:val="32"/>
          <w:szCs w:val="32"/>
        </w:rPr>
        <w:t>苏木乡镇卫生院（社区卫生服务中心）达到基本标准</w:t>
      </w:r>
      <w:r>
        <w:rPr>
          <w:rFonts w:hint="eastAsia" w:ascii="仿宋" w:hAnsi="仿宋" w:eastAsia="仿宋" w:cs="仿宋"/>
          <w:color w:val="000000"/>
          <w:spacing w:val="0"/>
          <w:sz w:val="32"/>
          <w:szCs w:val="32"/>
        </w:rPr>
        <w:t>。</w:t>
      </w:r>
      <w:r>
        <w:rPr>
          <w:rFonts w:hint="eastAsia" w:ascii="仿宋" w:hAnsi="仿宋" w:eastAsia="仿宋" w:cs="仿宋"/>
          <w:spacing w:val="0"/>
          <w:sz w:val="32"/>
          <w:szCs w:val="32"/>
        </w:rPr>
        <w:t>加强重大慢性病健康管理，探索基层医疗卫生机构与上级医疗机构设立慢性病联合门诊，开展常见慢性病预防、治疗和康复。强化乡村传染病管理和社区心理卫生服务能力提升。建立健全符合基层医疗卫生机构功能定位和服务特点的评价评审体系。加强基层医疗质量管理，将其纳入国家医疗质量管理与控制体系。</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19.提高医疗卫生科研技术水平。加强临床医学、公共卫生和医药器械研发体系与能力建设，发展组学技术、干细胞与再生医学、新型疫苗、生物治疗、精准医学等医学前沿技术。加大力度推进研究型医院和研究型病房建设。加快卫生健康科技创新体系建设，突出医疗卫生机构创新资源聚集平台作用，完善区内外合作共享机制，依托区内三级甲等医院、研究院（所）和城市大型公共卫生机构，建设一批医疗卫生人员协同创新中心。依托高水平医院建设国家和自治区临床医学研究中心、中（蒙）医药传承创新中心。</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20.保障医疗服务质量安全。完善医疗质量管理与控制体系，健全覆盖主要专业的自治区、盟市医疗质量控制组织，将部分重点专业质控组织延伸至旗县（市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区）。医疗机构建立健全全员参与、覆盖临床服务全过程</w:t>
      </w:r>
      <w:r>
        <w:rPr>
          <w:rFonts w:hint="eastAsia" w:ascii="仿宋" w:hAnsi="仿宋" w:eastAsia="仿宋" w:cs="仿宋"/>
          <w:color w:val="auto"/>
          <w:spacing w:val="0"/>
          <w:sz w:val="32"/>
          <w:szCs w:val="32"/>
        </w:rPr>
        <w:t>的质量管理与控制工作制度</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全面实施临床路径管理。完善医疗质量安全管理制度和规范，严格落</w:t>
      </w:r>
      <w:r>
        <w:rPr>
          <w:rFonts w:hint="eastAsia" w:ascii="仿宋" w:hAnsi="仿宋" w:eastAsia="仿宋" w:cs="仿宋"/>
          <w:spacing w:val="0"/>
          <w:sz w:val="32"/>
          <w:szCs w:val="32"/>
        </w:rPr>
        <w:t>实医疗质量安全核心制度。完善医疗服务行为规范，提升医疗服务标准化、规范化水平。完善以结果为导向的服务质量数据系统评估、反馈和激励机制。探索建立医疗服务点评制度</w:t>
      </w:r>
      <w:r>
        <w:rPr>
          <w:rFonts w:hint="eastAsia" w:ascii="仿宋" w:hAnsi="仿宋" w:eastAsia="仿宋" w:cs="仿宋"/>
          <w:spacing w:val="0"/>
          <w:sz w:val="32"/>
          <w:szCs w:val="32"/>
          <w:lang w:eastAsia="zh-CN"/>
        </w:rPr>
        <w:t>，不断</w:t>
      </w:r>
      <w:r>
        <w:rPr>
          <w:rFonts w:hint="eastAsia" w:ascii="仿宋" w:hAnsi="仿宋" w:eastAsia="仿宋" w:cs="仿宋"/>
          <w:spacing w:val="0"/>
          <w:sz w:val="32"/>
          <w:szCs w:val="32"/>
        </w:rPr>
        <w:t>提高药品供应保障和药学服务水平。</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21.提升医疗卫生服务水平。改善就诊环境，优化设施布局</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促进服务连续性，持续推进“假日门诊”、“弹性门诊”和“预住院”服务，探索设立“夜间门诊”，指导协助患者转诊。逐步拓展日间医疗服务，扩大远程医疗覆盖范围。健全多学科联合诊疗和查房制度，提供救治绿色通道和一体化服务。积极推进新生儿</w:t>
      </w:r>
      <w:r>
        <w:rPr>
          <w:rFonts w:hint="eastAsia" w:ascii="仿宋" w:hAnsi="仿宋" w:eastAsia="仿宋" w:cs="仿宋"/>
          <w:spacing w:val="-6"/>
          <w:sz w:val="32"/>
          <w:szCs w:val="32"/>
        </w:rPr>
        <w:t>相关证件多证联办。大力推动免疫规划等公共卫生服务便捷化。</w:t>
      </w:r>
      <w:r>
        <w:rPr>
          <w:rFonts w:hint="eastAsia" w:ascii="仿宋" w:hAnsi="仿宋" w:eastAsia="仿宋" w:cs="仿宋"/>
          <w:spacing w:val="0"/>
          <w:sz w:val="32"/>
          <w:szCs w:val="32"/>
        </w:rPr>
        <w:t>优化跨省异地就医直接结算服务。强化医务人员服务意识，加强医患沟通，促进人文关怀，保护患者隐私。落实优质护理要求，持续加强临床心理、麻醉镇痛、用药指导、营养指导等服务。健全医务社工和志愿者服务制度。充分发挥人民调解主渠道作用，健全化解医疗纠纷长效机制，构建和谐医患关系。</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22.充分发挥信息技术支撑作用。发展“互联网+医疗健康”，加快推进互联网、区块链、物联网、人工智能、云计算、大数据等在医疗卫生领域中的应用。积极运用互联网、人工智能等技术，持续优化服务流程。加快建设智慧医院，推行分时段预约诊疗和</w:t>
      </w:r>
      <w:r>
        <w:rPr>
          <w:rFonts w:hint="eastAsia" w:ascii="仿宋" w:hAnsi="仿宋" w:eastAsia="仿宋" w:cs="仿宋"/>
          <w:spacing w:val="6"/>
          <w:sz w:val="32"/>
          <w:szCs w:val="32"/>
        </w:rPr>
        <w:t>检查检验集中预约服务，推广诊间结算、移动支付、线上查询、</w:t>
      </w:r>
      <w:r>
        <w:rPr>
          <w:rFonts w:hint="eastAsia" w:ascii="仿宋" w:hAnsi="仿宋" w:eastAsia="仿宋" w:cs="仿宋"/>
          <w:spacing w:val="0"/>
          <w:sz w:val="32"/>
          <w:szCs w:val="32"/>
        </w:rPr>
        <w:t>药物配送等服务。建立跨部门、跨机构公共卫生数据共享调度机制和智慧化预警多点触发机制。推进医疗联合体内信息系统统一运营和互联互通，加强数字化管理。加快健康医疗数据安全体系建设，提高医疗卫生机构数据安全防护能力。推进居民电子健康档案应用，完善授权调阅和开放服务渠道及交互方式。</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both"/>
        <w:textAlignment w:val="auto"/>
        <w:rPr>
          <w:rFonts w:hint="eastAsia" w:ascii="楷体" w:hAnsi="楷体" w:eastAsia="楷体" w:cs="楷体"/>
          <w:spacing w:val="0"/>
          <w:sz w:val="32"/>
          <w:szCs w:val="32"/>
          <w:lang w:val="en-US" w:eastAsia="zh-CN"/>
        </w:rPr>
      </w:pPr>
      <w:r>
        <w:rPr>
          <w:rFonts w:hint="eastAsia" w:ascii="仿宋" w:hAnsi="仿宋" w:eastAsia="仿宋" w:cs="仿宋"/>
          <w:spacing w:val="0"/>
          <w:sz w:val="32"/>
          <w:szCs w:val="32"/>
        </w:rPr>
        <w:t>23.加强综合监管。深化医药卫生领域“放管服”改革，全面推进医药卫生领域行政审批制度改革</w:t>
      </w:r>
      <w:r>
        <w:rPr>
          <w:rFonts w:hint="eastAsia" w:ascii="仿宋" w:hAnsi="仿宋" w:eastAsia="仿宋" w:cs="仿宋"/>
          <w:spacing w:val="0"/>
          <w:sz w:val="32"/>
          <w:szCs w:val="32"/>
          <w:lang w:eastAsia="zh-CN"/>
        </w:rPr>
        <w:t>和</w:t>
      </w:r>
      <w:r>
        <w:rPr>
          <w:rFonts w:hint="eastAsia" w:ascii="仿宋" w:hAnsi="仿宋" w:eastAsia="仿宋" w:cs="仿宋"/>
          <w:spacing w:val="0"/>
          <w:sz w:val="32"/>
          <w:szCs w:val="32"/>
        </w:rPr>
        <w:t>医疗卫生行业综合监管机制建设。创新监管方式，重点加强服务要素准入、质量和安全、公共卫生、机构运行、从业人员、服务行为、医疗费用、行业秩序和健康产业监管。健全完善政府监管主导、第三方广泛参与、医疗卫生机构自我管理和社会监督为补充的多元化综合监管体系。建立健全医疗卫生行业行风建设工作体系，推进医药领域腐败问题治理长效机制建设。开展廉洁从业专项行动，加大监督检查、执纪执法力度，维护公立医疗卫生机构公益性，依法规范社会办医疗机构执业行为。</w:t>
      </w:r>
      <w:r>
        <w:rPr>
          <w:rFonts w:hint="eastAsia" w:ascii="楷体" w:hAnsi="楷体" w:eastAsia="楷体" w:cs="楷体"/>
          <w:spacing w:val="0"/>
          <w:sz w:val="32"/>
          <w:szCs w:val="32"/>
          <w:lang w:val="en-US" w:eastAsia="zh-CN"/>
        </w:rPr>
        <w:t>（责任单位：自治区卫生健康委牵头负责）</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三、组织实施</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楷体" w:hAnsi="楷体" w:eastAsia="楷体" w:cs="楷体"/>
          <w:spacing w:val="0"/>
          <w:sz w:val="32"/>
          <w:szCs w:val="32"/>
          <w:lang w:val="en-US" w:eastAsia="zh-CN"/>
        </w:rPr>
        <w:t>（一）加强组织领导。</w:t>
      </w:r>
      <w:r>
        <w:rPr>
          <w:rFonts w:hint="eastAsia" w:ascii="仿宋" w:hAnsi="仿宋" w:eastAsia="仿宋" w:cs="仿宋"/>
          <w:spacing w:val="0"/>
          <w:sz w:val="32"/>
          <w:szCs w:val="32"/>
        </w:rPr>
        <w:t>坚持和加强党的全面领导，</w:t>
      </w:r>
      <w:r>
        <w:rPr>
          <w:rFonts w:hint="eastAsia" w:ascii="仿宋" w:hAnsi="仿宋" w:eastAsia="仿宋" w:cs="仿宋"/>
          <w:spacing w:val="0"/>
          <w:sz w:val="32"/>
          <w:szCs w:val="32"/>
          <w:lang w:eastAsia="zh-CN"/>
        </w:rPr>
        <w:t>各盟行政公署、市人民政府</w:t>
      </w:r>
      <w:r>
        <w:rPr>
          <w:rFonts w:hint="eastAsia" w:ascii="仿宋" w:hAnsi="仿宋" w:eastAsia="仿宋" w:cs="仿宋"/>
          <w:spacing w:val="0"/>
          <w:sz w:val="32"/>
          <w:szCs w:val="32"/>
        </w:rPr>
        <w:t>要高度重视优质高效医疗卫生服务体系建设</w:t>
      </w:r>
      <w:r>
        <w:rPr>
          <w:rFonts w:hint="eastAsia" w:ascii="仿宋" w:hAnsi="仿宋" w:eastAsia="仿宋" w:cs="仿宋"/>
          <w:spacing w:val="0"/>
          <w:sz w:val="32"/>
          <w:szCs w:val="32"/>
          <w:lang w:eastAsia="zh-CN"/>
        </w:rPr>
        <w:t>工作</w:t>
      </w:r>
      <w:r>
        <w:rPr>
          <w:rFonts w:hint="eastAsia" w:ascii="仿宋" w:hAnsi="仿宋" w:eastAsia="仿宋" w:cs="仿宋"/>
          <w:spacing w:val="0"/>
          <w:sz w:val="32"/>
          <w:szCs w:val="32"/>
        </w:rPr>
        <w:t>，将其列入政府工作目标和考核目标，制定具体实施方案，落实各项任务，因地制宜加强体制机制创新。</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楷体" w:hAnsi="楷体" w:eastAsia="楷体" w:cs="楷体"/>
          <w:spacing w:val="0"/>
          <w:sz w:val="32"/>
          <w:szCs w:val="32"/>
          <w:lang w:val="en-US" w:eastAsia="zh-CN"/>
        </w:rPr>
        <w:t>（二）强化部门协同。</w:t>
      </w:r>
      <w:r>
        <w:rPr>
          <w:rFonts w:hint="eastAsia" w:ascii="仿宋" w:hAnsi="仿宋" w:eastAsia="仿宋" w:cs="仿宋"/>
          <w:spacing w:val="0"/>
          <w:sz w:val="32"/>
          <w:szCs w:val="32"/>
        </w:rPr>
        <w:t>各相关部门要认真履行职责，细化配套政策，</w:t>
      </w:r>
      <w:r>
        <w:rPr>
          <w:rFonts w:hint="eastAsia" w:ascii="仿宋" w:hAnsi="仿宋" w:eastAsia="仿宋" w:cs="仿宋"/>
          <w:spacing w:val="0"/>
          <w:sz w:val="32"/>
          <w:szCs w:val="32"/>
          <w:lang w:eastAsia="zh-CN"/>
        </w:rPr>
        <w:t>加强协作配合，形成工作合力，</w:t>
      </w:r>
      <w:r>
        <w:rPr>
          <w:rFonts w:hint="eastAsia" w:ascii="仿宋" w:hAnsi="仿宋" w:eastAsia="仿宋" w:cs="仿宋"/>
          <w:spacing w:val="0"/>
          <w:sz w:val="32"/>
          <w:szCs w:val="32"/>
        </w:rPr>
        <w:t>协同推进自治区医疗卫生服务体系建设工作。</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楷体" w:hAnsi="楷体" w:eastAsia="楷体" w:cs="楷体"/>
          <w:spacing w:val="0"/>
          <w:sz w:val="32"/>
          <w:szCs w:val="32"/>
          <w:lang w:val="en-US" w:eastAsia="zh-CN"/>
        </w:rPr>
        <w:t>（三）强化督查评估。</w:t>
      </w:r>
      <w:r>
        <w:rPr>
          <w:rFonts w:hint="eastAsia" w:ascii="仿宋" w:hAnsi="仿宋" w:eastAsia="仿宋" w:cs="仿宋"/>
          <w:spacing w:val="0"/>
          <w:sz w:val="32"/>
          <w:szCs w:val="32"/>
        </w:rPr>
        <w:t>强化对改革完善医疗服务体系的督查评估，建立健全科学、规范、合理的督查评估制度，以区域为单位、以整体绩效为重点，建立医疗卫生服务体系监测评价机制。</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 w:hAnsi="仿宋" w:eastAsia="仿宋" w:cs="仿宋"/>
          <w:spacing w:val="0"/>
          <w:sz w:val="32"/>
          <w:szCs w:val="32"/>
        </w:rPr>
      </w:pPr>
      <w:r>
        <w:rPr>
          <w:rFonts w:hint="eastAsia" w:ascii="楷体" w:hAnsi="楷体" w:eastAsia="楷体" w:cs="楷体"/>
          <w:spacing w:val="0"/>
          <w:sz w:val="32"/>
          <w:szCs w:val="32"/>
          <w:lang w:val="en-US" w:eastAsia="zh-CN"/>
        </w:rPr>
        <w:t>（四）加强宣传引导。</w:t>
      </w:r>
      <w:r>
        <w:rPr>
          <w:rFonts w:hint="eastAsia" w:ascii="仿宋" w:hAnsi="仿宋" w:eastAsia="仿宋" w:cs="仿宋"/>
          <w:spacing w:val="0"/>
          <w:sz w:val="32"/>
          <w:szCs w:val="32"/>
        </w:rPr>
        <w:t>围绕改革目标和重点任务，积极宣传工作进展和成效，做好政策解读和相关培训，及时总结推广好的做法和经验，主动回应社会关切，为医疗卫生服务体系改革发展营造良好社会环境。</w:t>
      </w:r>
    </w:p>
    <w:p>
      <w:pPr>
        <w:spacing w:line="560" w:lineRule="exact"/>
        <w:rPr>
          <w:rFonts w:hint="eastAsia" w:ascii="方正仿宋_GBK" w:hAnsi="方正仿宋_GBK" w:eastAsia="方正仿宋_GBK" w:cs="方正仿宋_GBK"/>
          <w:spacing w:val="0"/>
          <w:sz w:val="28"/>
          <w:szCs w:val="28"/>
        </w:rPr>
      </w:pPr>
    </w:p>
    <w:p>
      <w:pPr>
        <w:spacing w:line="240" w:lineRule="auto"/>
        <w:rPr>
          <w:rFonts w:hint="eastAsia" w:ascii="方正仿宋_GBK" w:hAnsi="方正仿宋_GBK" w:eastAsia="方正仿宋_GBK" w:cs="方正仿宋_GBK"/>
          <w:spacing w:val="0"/>
          <w:sz w:val="28"/>
          <w:szCs w:val="28"/>
          <w:lang w:eastAsia="zh-CN"/>
        </w:rPr>
      </w:pPr>
    </w:p>
    <w:p>
      <w:pPr>
        <w:spacing w:line="560" w:lineRule="exact"/>
        <w:rPr>
          <w:rFonts w:hint="eastAsia" w:ascii="方正仿宋_GBK" w:hAnsi="方正仿宋_GBK" w:eastAsia="方正仿宋_GBK" w:cs="方正仿宋_GBK"/>
          <w:spacing w:val="0"/>
          <w:sz w:val="28"/>
          <w:szCs w:val="28"/>
        </w:rPr>
      </w:pPr>
    </w:p>
    <w:p>
      <w:pPr>
        <w:pStyle w:val="2"/>
        <w:rPr>
          <w:rFonts w:hint="eastAsia"/>
        </w:rPr>
      </w:pPr>
    </w:p>
    <w:p>
      <w:pPr>
        <w:adjustRightInd w:val="0"/>
        <w:snapToGrid w:val="0"/>
        <w:spacing w:line="580" w:lineRule="exact"/>
        <w:rPr>
          <w:rFonts w:hint="eastAsia" w:ascii="黑体" w:eastAsia="黑体"/>
          <w:sz w:val="32"/>
        </w:rPr>
      </w:pPr>
      <w:bookmarkStart w:id="2" w:name="_GoBack"/>
      <w:bookmarkEnd w:id="2"/>
    </w:p>
    <w:p>
      <w:pPr>
        <w:pStyle w:val="2"/>
        <w:rPr>
          <w:rFonts w:hint="eastAsia"/>
        </w:rPr>
      </w:pPr>
    </w:p>
    <w:tbl>
      <w:tblPr>
        <w:tblStyle w:val="11"/>
        <w:tblW w:w="9035"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166"/>
        <w:gridCol w:w="3869"/>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46" w:hRule="atLeast"/>
          <w:jc w:val="center"/>
        </w:trPr>
        <w:tc>
          <w:tcPr>
            <w:tcW w:w="9035" w:type="dxa"/>
            <w:gridSpan w:val="2"/>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自治区人大常委会办公厅、政协办公厅，自治区监委，</w:t>
            </w:r>
            <w:r>
              <w:rPr>
                <w:rFonts w:hint="eastAsia" w:ascii="仿宋" w:hAnsi="仿宋" w:eastAsia="仿宋" w:cs="仿宋"/>
                <w:sz w:val="28"/>
                <w:szCs w:val="28"/>
                <w:lang w:eastAsia="zh-CN"/>
              </w:rPr>
              <w:t>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61" w:hRule="atLeast"/>
          <w:jc w:val="center"/>
        </w:trPr>
        <w:tc>
          <w:tcPr>
            <w:tcW w:w="5166"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460" w:lineRule="exact"/>
              <w:ind w:left="315" w:leftChars="150" w:right="315" w:rightChars="150"/>
              <w:textAlignment w:val="auto"/>
              <w:rPr>
                <w:rFonts w:hint="eastAsia" w:ascii="仿宋" w:hAnsi="仿宋" w:eastAsia="仿宋" w:cs="仿宋"/>
                <w:sz w:val="28"/>
                <w:szCs w:val="28"/>
              </w:rPr>
            </w:pPr>
            <w:r>
              <w:rPr>
                <w:rFonts w:hint="eastAsia" w:ascii="仿宋" w:hAnsi="仿宋" w:eastAsia="仿宋" w:cs="仿宋"/>
                <w:kern w:val="0"/>
                <w:sz w:val="28"/>
                <w:szCs w:val="28"/>
              </w:rPr>
              <w:t>内蒙古自治区人民政府办公厅文电处</w:t>
            </w:r>
          </w:p>
        </w:tc>
        <w:tc>
          <w:tcPr>
            <w:tcW w:w="3869"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460" w:lineRule="exact"/>
              <w:ind w:left="315" w:leftChars="150" w:right="315" w:rightChars="150"/>
              <w:jc w:val="right"/>
              <w:textAlignment w:val="auto"/>
              <w:rPr>
                <w:rFonts w:hint="eastAsia" w:ascii="仿宋" w:hAnsi="仿宋" w:eastAsia="仿宋" w:cs="仿宋"/>
                <w:sz w:val="28"/>
                <w:szCs w:val="28"/>
              </w:rPr>
            </w:pPr>
            <w:bookmarkStart w:id="1" w:name="印发日期"/>
            <w:bookmarkEnd w:id="1"/>
            <w:r>
              <w:rPr>
                <w:rFonts w:hint="eastAsia" w:ascii="仿宋" w:hAnsi="仿宋" w:eastAsia="仿宋" w:cs="仿宋"/>
                <w:sz w:val="28"/>
                <w:szCs w:val="28"/>
                <w:lang w:val="en-US" w:eastAsia="zh-CN"/>
              </w:rPr>
              <w:t>2023年10月7日</w:t>
            </w:r>
            <w:r>
              <w:rPr>
                <w:rFonts w:hint="eastAsia" w:ascii="仿宋" w:hAnsi="仿宋" w:eastAsia="仿宋" w:cs="仿宋"/>
                <w:sz w:val="28"/>
                <w:szCs w:val="28"/>
              </w:rPr>
              <w:t>印发</w:t>
            </w:r>
          </w:p>
        </w:tc>
      </w:tr>
    </w:tbl>
    <w:p>
      <w:pPr>
        <w:spacing w:line="20" w:lineRule="exact"/>
        <w:rPr>
          <w:rFonts w:hint="eastAsia"/>
        </w:rPr>
      </w:pPr>
      <w:r>
        <w:rPr>
          <w:rFonts w:hint="eastAsia" w:ascii="方正仿宋_GBK" w:hAnsi="方正仿宋_GBK" w:eastAsia="方正仿宋_GBK" w:cs="方正仿宋_GBK"/>
          <w:spacing w:val="0"/>
          <w:sz w:val="28"/>
          <w:szCs w:val="28"/>
          <w:lang w:eastAsia="zh-CN"/>
        </w:rPr>
        <w:drawing>
          <wp:anchor distT="0" distB="0" distL="114300" distR="114300" simplePos="0" relativeHeight="251659264" behindDoc="0" locked="0" layoutInCell="1" allowOverlap="1">
            <wp:simplePos x="0" y="0"/>
            <wp:positionH relativeFrom="column">
              <wp:posOffset>3937635</wp:posOffset>
            </wp:positionH>
            <wp:positionV relativeFrom="paragraph">
              <wp:posOffset>205105</wp:posOffset>
            </wp:positionV>
            <wp:extent cx="1548765" cy="419100"/>
            <wp:effectExtent l="0" t="0" r="13335" b="0"/>
            <wp:wrapSquare wrapText="bothSides"/>
            <wp:docPr id="1" name="图片 5" descr="NZBF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61"/>
                    <pic:cNvPicPr>
                      <a:picLocks noChangeAspect="1"/>
                    </pic:cNvPicPr>
                  </pic:nvPicPr>
                  <pic:blipFill>
                    <a:blip r:embed="rId8"/>
                    <a:stretch>
                      <a:fillRect/>
                    </a:stretch>
                  </pic:blipFill>
                  <pic:spPr>
                    <a:xfrm>
                      <a:off x="0" y="0"/>
                      <a:ext cx="1548765" cy="4191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046B4"/>
    <w:rsid w:val="0001025F"/>
    <w:rsid w:val="00010E72"/>
    <w:rsid w:val="00010FBD"/>
    <w:rsid w:val="000134B5"/>
    <w:rsid w:val="00014924"/>
    <w:rsid w:val="0001572E"/>
    <w:rsid w:val="0001671F"/>
    <w:rsid w:val="0001751F"/>
    <w:rsid w:val="00017973"/>
    <w:rsid w:val="00017C56"/>
    <w:rsid w:val="00017C8E"/>
    <w:rsid w:val="00021290"/>
    <w:rsid w:val="000228A4"/>
    <w:rsid w:val="00024FC9"/>
    <w:rsid w:val="00025291"/>
    <w:rsid w:val="0003004C"/>
    <w:rsid w:val="000305B6"/>
    <w:rsid w:val="00031020"/>
    <w:rsid w:val="00032336"/>
    <w:rsid w:val="00036CC9"/>
    <w:rsid w:val="00037A1D"/>
    <w:rsid w:val="000407F0"/>
    <w:rsid w:val="00040D42"/>
    <w:rsid w:val="0004119F"/>
    <w:rsid w:val="00041495"/>
    <w:rsid w:val="00043109"/>
    <w:rsid w:val="00043BA4"/>
    <w:rsid w:val="00045126"/>
    <w:rsid w:val="00047603"/>
    <w:rsid w:val="00047737"/>
    <w:rsid w:val="0005120B"/>
    <w:rsid w:val="000515D2"/>
    <w:rsid w:val="00053149"/>
    <w:rsid w:val="00055C21"/>
    <w:rsid w:val="00056556"/>
    <w:rsid w:val="0005753C"/>
    <w:rsid w:val="00060597"/>
    <w:rsid w:val="00060CE0"/>
    <w:rsid w:val="000615CF"/>
    <w:rsid w:val="0006347A"/>
    <w:rsid w:val="000671EE"/>
    <w:rsid w:val="00070196"/>
    <w:rsid w:val="000701C3"/>
    <w:rsid w:val="00071DE3"/>
    <w:rsid w:val="00071E83"/>
    <w:rsid w:val="0007324B"/>
    <w:rsid w:val="00074623"/>
    <w:rsid w:val="00076F96"/>
    <w:rsid w:val="00081985"/>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C196C"/>
    <w:rsid w:val="000D1918"/>
    <w:rsid w:val="000D2276"/>
    <w:rsid w:val="000D46E6"/>
    <w:rsid w:val="000D4B7C"/>
    <w:rsid w:val="000D7CF8"/>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320B"/>
    <w:rsid w:val="00113AA4"/>
    <w:rsid w:val="001147E4"/>
    <w:rsid w:val="00114AC4"/>
    <w:rsid w:val="00114FD2"/>
    <w:rsid w:val="001166E7"/>
    <w:rsid w:val="00117691"/>
    <w:rsid w:val="0012067D"/>
    <w:rsid w:val="00120FA6"/>
    <w:rsid w:val="00121523"/>
    <w:rsid w:val="00121A80"/>
    <w:rsid w:val="0012298D"/>
    <w:rsid w:val="00122EA1"/>
    <w:rsid w:val="00124296"/>
    <w:rsid w:val="001243C4"/>
    <w:rsid w:val="00126209"/>
    <w:rsid w:val="0012798F"/>
    <w:rsid w:val="00127D04"/>
    <w:rsid w:val="001303D3"/>
    <w:rsid w:val="001316F8"/>
    <w:rsid w:val="00132688"/>
    <w:rsid w:val="00132E64"/>
    <w:rsid w:val="001332BC"/>
    <w:rsid w:val="001340AD"/>
    <w:rsid w:val="0013461A"/>
    <w:rsid w:val="00137385"/>
    <w:rsid w:val="001374AD"/>
    <w:rsid w:val="00140625"/>
    <w:rsid w:val="00142107"/>
    <w:rsid w:val="00145C0B"/>
    <w:rsid w:val="00145D2E"/>
    <w:rsid w:val="00146D53"/>
    <w:rsid w:val="00147907"/>
    <w:rsid w:val="00151C4B"/>
    <w:rsid w:val="00151F28"/>
    <w:rsid w:val="00153017"/>
    <w:rsid w:val="00155A0E"/>
    <w:rsid w:val="001602EE"/>
    <w:rsid w:val="0016063F"/>
    <w:rsid w:val="001608F4"/>
    <w:rsid w:val="0016554C"/>
    <w:rsid w:val="00165F41"/>
    <w:rsid w:val="00166461"/>
    <w:rsid w:val="0016715A"/>
    <w:rsid w:val="001679C2"/>
    <w:rsid w:val="00170824"/>
    <w:rsid w:val="0017273F"/>
    <w:rsid w:val="00172ABF"/>
    <w:rsid w:val="00173AA9"/>
    <w:rsid w:val="00174DF1"/>
    <w:rsid w:val="00177B68"/>
    <w:rsid w:val="00180CF8"/>
    <w:rsid w:val="00182DBF"/>
    <w:rsid w:val="00183AA6"/>
    <w:rsid w:val="001844AF"/>
    <w:rsid w:val="00184638"/>
    <w:rsid w:val="00185CC8"/>
    <w:rsid w:val="00187037"/>
    <w:rsid w:val="0019221F"/>
    <w:rsid w:val="00194319"/>
    <w:rsid w:val="001948D4"/>
    <w:rsid w:val="00195E24"/>
    <w:rsid w:val="00197198"/>
    <w:rsid w:val="001A0A30"/>
    <w:rsid w:val="001A102B"/>
    <w:rsid w:val="001A1DD9"/>
    <w:rsid w:val="001A2BD2"/>
    <w:rsid w:val="001A3639"/>
    <w:rsid w:val="001A72B0"/>
    <w:rsid w:val="001B0C7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36D4"/>
    <w:rsid w:val="00225AE7"/>
    <w:rsid w:val="00225BC5"/>
    <w:rsid w:val="00226765"/>
    <w:rsid w:val="002301CC"/>
    <w:rsid w:val="00230779"/>
    <w:rsid w:val="00230DF7"/>
    <w:rsid w:val="00233CA4"/>
    <w:rsid w:val="00237D8D"/>
    <w:rsid w:val="00243573"/>
    <w:rsid w:val="002438BD"/>
    <w:rsid w:val="00244F58"/>
    <w:rsid w:val="002502D1"/>
    <w:rsid w:val="002502E6"/>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1D8A"/>
    <w:rsid w:val="00272B71"/>
    <w:rsid w:val="002750B4"/>
    <w:rsid w:val="002755E6"/>
    <w:rsid w:val="00277086"/>
    <w:rsid w:val="0027732C"/>
    <w:rsid w:val="00277D66"/>
    <w:rsid w:val="00284880"/>
    <w:rsid w:val="00286092"/>
    <w:rsid w:val="00290135"/>
    <w:rsid w:val="00292B57"/>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04BFB"/>
    <w:rsid w:val="0030525C"/>
    <w:rsid w:val="00316104"/>
    <w:rsid w:val="00317237"/>
    <w:rsid w:val="00321960"/>
    <w:rsid w:val="00322E30"/>
    <w:rsid w:val="00324C04"/>
    <w:rsid w:val="003340DF"/>
    <w:rsid w:val="00334343"/>
    <w:rsid w:val="003347A0"/>
    <w:rsid w:val="00336F88"/>
    <w:rsid w:val="00340FF0"/>
    <w:rsid w:val="0034118D"/>
    <w:rsid w:val="00341A6E"/>
    <w:rsid w:val="00342CC3"/>
    <w:rsid w:val="00343E0C"/>
    <w:rsid w:val="00344DA3"/>
    <w:rsid w:val="00350F9A"/>
    <w:rsid w:val="003518D7"/>
    <w:rsid w:val="00351987"/>
    <w:rsid w:val="00351F4C"/>
    <w:rsid w:val="00352A64"/>
    <w:rsid w:val="0035334E"/>
    <w:rsid w:val="003557E4"/>
    <w:rsid w:val="00361A29"/>
    <w:rsid w:val="0036715B"/>
    <w:rsid w:val="00367E4A"/>
    <w:rsid w:val="00371465"/>
    <w:rsid w:val="0037414E"/>
    <w:rsid w:val="0037427E"/>
    <w:rsid w:val="00375606"/>
    <w:rsid w:val="0037670E"/>
    <w:rsid w:val="00381A7A"/>
    <w:rsid w:val="00385438"/>
    <w:rsid w:val="00385540"/>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34C"/>
    <w:rsid w:val="003A5841"/>
    <w:rsid w:val="003A6755"/>
    <w:rsid w:val="003B0C1E"/>
    <w:rsid w:val="003B1AA3"/>
    <w:rsid w:val="003B32B0"/>
    <w:rsid w:val="003B59D9"/>
    <w:rsid w:val="003C1EB9"/>
    <w:rsid w:val="003C3249"/>
    <w:rsid w:val="003C3EA0"/>
    <w:rsid w:val="003C419C"/>
    <w:rsid w:val="003C41EC"/>
    <w:rsid w:val="003C4942"/>
    <w:rsid w:val="003D01EF"/>
    <w:rsid w:val="003D14CC"/>
    <w:rsid w:val="003D3B34"/>
    <w:rsid w:val="003D46AE"/>
    <w:rsid w:val="003D4830"/>
    <w:rsid w:val="003E323B"/>
    <w:rsid w:val="003E39D4"/>
    <w:rsid w:val="003E549A"/>
    <w:rsid w:val="003E5A89"/>
    <w:rsid w:val="003F0B67"/>
    <w:rsid w:val="003F1F24"/>
    <w:rsid w:val="003F595E"/>
    <w:rsid w:val="003F6574"/>
    <w:rsid w:val="003F6E09"/>
    <w:rsid w:val="003F728E"/>
    <w:rsid w:val="0040173F"/>
    <w:rsid w:val="00402A88"/>
    <w:rsid w:val="00402EDB"/>
    <w:rsid w:val="004100FD"/>
    <w:rsid w:val="0041232A"/>
    <w:rsid w:val="004125FC"/>
    <w:rsid w:val="00412AD9"/>
    <w:rsid w:val="00415492"/>
    <w:rsid w:val="004178C8"/>
    <w:rsid w:val="00423301"/>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5C9"/>
    <w:rsid w:val="00456737"/>
    <w:rsid w:val="00456A72"/>
    <w:rsid w:val="00456A79"/>
    <w:rsid w:val="00461EDE"/>
    <w:rsid w:val="004638A8"/>
    <w:rsid w:val="004653AF"/>
    <w:rsid w:val="00470220"/>
    <w:rsid w:val="00471012"/>
    <w:rsid w:val="00471918"/>
    <w:rsid w:val="00471E78"/>
    <w:rsid w:val="0047252B"/>
    <w:rsid w:val="00472C32"/>
    <w:rsid w:val="00472D58"/>
    <w:rsid w:val="00473996"/>
    <w:rsid w:val="00474EFD"/>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200F"/>
    <w:rsid w:val="004A373F"/>
    <w:rsid w:val="004A464E"/>
    <w:rsid w:val="004A4859"/>
    <w:rsid w:val="004B0832"/>
    <w:rsid w:val="004B119C"/>
    <w:rsid w:val="004B1D23"/>
    <w:rsid w:val="004B34BF"/>
    <w:rsid w:val="004B482F"/>
    <w:rsid w:val="004B512E"/>
    <w:rsid w:val="004B5CC9"/>
    <w:rsid w:val="004B72BC"/>
    <w:rsid w:val="004C0FC4"/>
    <w:rsid w:val="004C1246"/>
    <w:rsid w:val="004C1EC2"/>
    <w:rsid w:val="004C4F15"/>
    <w:rsid w:val="004C61B8"/>
    <w:rsid w:val="004C7700"/>
    <w:rsid w:val="004D028D"/>
    <w:rsid w:val="004D1521"/>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1BDA"/>
    <w:rsid w:val="00513E02"/>
    <w:rsid w:val="005141F0"/>
    <w:rsid w:val="00514727"/>
    <w:rsid w:val="0051691A"/>
    <w:rsid w:val="005216DB"/>
    <w:rsid w:val="00522BE1"/>
    <w:rsid w:val="00525134"/>
    <w:rsid w:val="00527055"/>
    <w:rsid w:val="00527860"/>
    <w:rsid w:val="005302E8"/>
    <w:rsid w:val="00534848"/>
    <w:rsid w:val="00537C60"/>
    <w:rsid w:val="005403BB"/>
    <w:rsid w:val="00540508"/>
    <w:rsid w:val="00541462"/>
    <w:rsid w:val="00545692"/>
    <w:rsid w:val="00547939"/>
    <w:rsid w:val="0055006E"/>
    <w:rsid w:val="00551517"/>
    <w:rsid w:val="005528A4"/>
    <w:rsid w:val="0055343F"/>
    <w:rsid w:val="005538B1"/>
    <w:rsid w:val="0055683F"/>
    <w:rsid w:val="005570A3"/>
    <w:rsid w:val="00557BB6"/>
    <w:rsid w:val="005617E0"/>
    <w:rsid w:val="005618EC"/>
    <w:rsid w:val="005623D2"/>
    <w:rsid w:val="00564BB5"/>
    <w:rsid w:val="0056793D"/>
    <w:rsid w:val="00570476"/>
    <w:rsid w:val="005758B0"/>
    <w:rsid w:val="0057593B"/>
    <w:rsid w:val="005761DA"/>
    <w:rsid w:val="00576B9B"/>
    <w:rsid w:val="005775A5"/>
    <w:rsid w:val="00577A94"/>
    <w:rsid w:val="00577CD6"/>
    <w:rsid w:val="00581C4B"/>
    <w:rsid w:val="005820C9"/>
    <w:rsid w:val="00582F58"/>
    <w:rsid w:val="005847C1"/>
    <w:rsid w:val="00586A46"/>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1B6"/>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0466"/>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3726"/>
    <w:rsid w:val="00674510"/>
    <w:rsid w:val="0067548C"/>
    <w:rsid w:val="0068029A"/>
    <w:rsid w:val="00684358"/>
    <w:rsid w:val="00685544"/>
    <w:rsid w:val="00686D4F"/>
    <w:rsid w:val="00687BC5"/>
    <w:rsid w:val="00691763"/>
    <w:rsid w:val="0069233D"/>
    <w:rsid w:val="00697347"/>
    <w:rsid w:val="00697571"/>
    <w:rsid w:val="006A28D5"/>
    <w:rsid w:val="006A3076"/>
    <w:rsid w:val="006A3B57"/>
    <w:rsid w:val="006A4BE5"/>
    <w:rsid w:val="006A55AD"/>
    <w:rsid w:val="006A5FB2"/>
    <w:rsid w:val="006A65EF"/>
    <w:rsid w:val="006C492D"/>
    <w:rsid w:val="006C6369"/>
    <w:rsid w:val="006D2826"/>
    <w:rsid w:val="006D44DF"/>
    <w:rsid w:val="006D582C"/>
    <w:rsid w:val="006D6106"/>
    <w:rsid w:val="006D6738"/>
    <w:rsid w:val="006E16EF"/>
    <w:rsid w:val="006E58B8"/>
    <w:rsid w:val="006E628F"/>
    <w:rsid w:val="006E7D08"/>
    <w:rsid w:val="006F0642"/>
    <w:rsid w:val="006F069F"/>
    <w:rsid w:val="006F0977"/>
    <w:rsid w:val="006F19A2"/>
    <w:rsid w:val="006F320A"/>
    <w:rsid w:val="006F4AF1"/>
    <w:rsid w:val="006F6A6D"/>
    <w:rsid w:val="006F6C03"/>
    <w:rsid w:val="006F793B"/>
    <w:rsid w:val="006F7A1E"/>
    <w:rsid w:val="007014BE"/>
    <w:rsid w:val="00703902"/>
    <w:rsid w:val="00704458"/>
    <w:rsid w:val="0070677A"/>
    <w:rsid w:val="00707093"/>
    <w:rsid w:val="00707748"/>
    <w:rsid w:val="00707A12"/>
    <w:rsid w:val="007103AB"/>
    <w:rsid w:val="007107BA"/>
    <w:rsid w:val="00710CE7"/>
    <w:rsid w:val="00720B3E"/>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06B3"/>
    <w:rsid w:val="007A6F05"/>
    <w:rsid w:val="007B097B"/>
    <w:rsid w:val="007B6642"/>
    <w:rsid w:val="007C5CDC"/>
    <w:rsid w:val="007C6DEF"/>
    <w:rsid w:val="007C7C36"/>
    <w:rsid w:val="007D1C46"/>
    <w:rsid w:val="007D340E"/>
    <w:rsid w:val="007D5A8A"/>
    <w:rsid w:val="007D62CA"/>
    <w:rsid w:val="007D66C2"/>
    <w:rsid w:val="007D765B"/>
    <w:rsid w:val="007E026E"/>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19FE"/>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4048"/>
    <w:rsid w:val="00846E88"/>
    <w:rsid w:val="008501A5"/>
    <w:rsid w:val="00854AD3"/>
    <w:rsid w:val="00854ADE"/>
    <w:rsid w:val="008551D9"/>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378A"/>
    <w:rsid w:val="00893C1C"/>
    <w:rsid w:val="0089561E"/>
    <w:rsid w:val="008A0590"/>
    <w:rsid w:val="008B063A"/>
    <w:rsid w:val="008B066F"/>
    <w:rsid w:val="008B2878"/>
    <w:rsid w:val="008B2A80"/>
    <w:rsid w:val="008B4122"/>
    <w:rsid w:val="008B513B"/>
    <w:rsid w:val="008B534E"/>
    <w:rsid w:val="008B536E"/>
    <w:rsid w:val="008B5DB9"/>
    <w:rsid w:val="008B5F79"/>
    <w:rsid w:val="008B61CE"/>
    <w:rsid w:val="008C2242"/>
    <w:rsid w:val="008C2FFC"/>
    <w:rsid w:val="008C3D85"/>
    <w:rsid w:val="008C3F32"/>
    <w:rsid w:val="008D2512"/>
    <w:rsid w:val="008D3423"/>
    <w:rsid w:val="008D416F"/>
    <w:rsid w:val="008D6580"/>
    <w:rsid w:val="008E1E2A"/>
    <w:rsid w:val="008E277B"/>
    <w:rsid w:val="008E3748"/>
    <w:rsid w:val="008E45DE"/>
    <w:rsid w:val="008E765D"/>
    <w:rsid w:val="008F6A2C"/>
    <w:rsid w:val="008F733C"/>
    <w:rsid w:val="00901E64"/>
    <w:rsid w:val="00904292"/>
    <w:rsid w:val="00910626"/>
    <w:rsid w:val="00910AC9"/>
    <w:rsid w:val="0091236B"/>
    <w:rsid w:val="009135EF"/>
    <w:rsid w:val="009150AA"/>
    <w:rsid w:val="009167EA"/>
    <w:rsid w:val="00916E26"/>
    <w:rsid w:val="00917CF5"/>
    <w:rsid w:val="009203AD"/>
    <w:rsid w:val="00920BA7"/>
    <w:rsid w:val="00921D50"/>
    <w:rsid w:val="00922844"/>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27B4"/>
    <w:rsid w:val="0097473C"/>
    <w:rsid w:val="00974D3A"/>
    <w:rsid w:val="0097594A"/>
    <w:rsid w:val="00977B8C"/>
    <w:rsid w:val="00980419"/>
    <w:rsid w:val="00980D23"/>
    <w:rsid w:val="009818A5"/>
    <w:rsid w:val="00983562"/>
    <w:rsid w:val="00985E2D"/>
    <w:rsid w:val="00990379"/>
    <w:rsid w:val="00990419"/>
    <w:rsid w:val="0099164F"/>
    <w:rsid w:val="0099440C"/>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D61CC"/>
    <w:rsid w:val="009E41F1"/>
    <w:rsid w:val="009E6969"/>
    <w:rsid w:val="009F13D4"/>
    <w:rsid w:val="009F14F1"/>
    <w:rsid w:val="009F1CFB"/>
    <w:rsid w:val="009F1DFF"/>
    <w:rsid w:val="009F35D0"/>
    <w:rsid w:val="009F3B62"/>
    <w:rsid w:val="009F3B9B"/>
    <w:rsid w:val="009F5A1E"/>
    <w:rsid w:val="009F69BD"/>
    <w:rsid w:val="009F69DB"/>
    <w:rsid w:val="009F6E0B"/>
    <w:rsid w:val="00A0130C"/>
    <w:rsid w:val="00A013CD"/>
    <w:rsid w:val="00A027F4"/>
    <w:rsid w:val="00A0337F"/>
    <w:rsid w:val="00A034F6"/>
    <w:rsid w:val="00A055DB"/>
    <w:rsid w:val="00A057C6"/>
    <w:rsid w:val="00A0595F"/>
    <w:rsid w:val="00A12557"/>
    <w:rsid w:val="00A12B15"/>
    <w:rsid w:val="00A1338D"/>
    <w:rsid w:val="00A156FF"/>
    <w:rsid w:val="00A15728"/>
    <w:rsid w:val="00A15F73"/>
    <w:rsid w:val="00A1646A"/>
    <w:rsid w:val="00A17257"/>
    <w:rsid w:val="00A1771F"/>
    <w:rsid w:val="00A17737"/>
    <w:rsid w:val="00A179CE"/>
    <w:rsid w:val="00A17EC0"/>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3EFA"/>
    <w:rsid w:val="00A746B2"/>
    <w:rsid w:val="00A74FC4"/>
    <w:rsid w:val="00A8034A"/>
    <w:rsid w:val="00A81344"/>
    <w:rsid w:val="00A8144C"/>
    <w:rsid w:val="00A82198"/>
    <w:rsid w:val="00A83A12"/>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A6C90"/>
    <w:rsid w:val="00AB27A7"/>
    <w:rsid w:val="00AB301E"/>
    <w:rsid w:val="00AB38D9"/>
    <w:rsid w:val="00AB7DAC"/>
    <w:rsid w:val="00AC1974"/>
    <w:rsid w:val="00AC2132"/>
    <w:rsid w:val="00AC4D0F"/>
    <w:rsid w:val="00AC6193"/>
    <w:rsid w:val="00AC685E"/>
    <w:rsid w:val="00AD04B0"/>
    <w:rsid w:val="00AD0907"/>
    <w:rsid w:val="00AD14A5"/>
    <w:rsid w:val="00AD29ED"/>
    <w:rsid w:val="00AD5212"/>
    <w:rsid w:val="00AD57D5"/>
    <w:rsid w:val="00AD7DC1"/>
    <w:rsid w:val="00AE14C5"/>
    <w:rsid w:val="00AE36EC"/>
    <w:rsid w:val="00AE43B0"/>
    <w:rsid w:val="00AE4C6F"/>
    <w:rsid w:val="00AE5AAD"/>
    <w:rsid w:val="00AE5CC0"/>
    <w:rsid w:val="00AE688F"/>
    <w:rsid w:val="00AF09FA"/>
    <w:rsid w:val="00AF0A6F"/>
    <w:rsid w:val="00AF2682"/>
    <w:rsid w:val="00AF2C60"/>
    <w:rsid w:val="00AF31FA"/>
    <w:rsid w:val="00AF3596"/>
    <w:rsid w:val="00AF375F"/>
    <w:rsid w:val="00AF400E"/>
    <w:rsid w:val="00AF4411"/>
    <w:rsid w:val="00AF51A3"/>
    <w:rsid w:val="00AF53DE"/>
    <w:rsid w:val="00AF6933"/>
    <w:rsid w:val="00AF7027"/>
    <w:rsid w:val="00B00D15"/>
    <w:rsid w:val="00B041F1"/>
    <w:rsid w:val="00B05A19"/>
    <w:rsid w:val="00B05C1E"/>
    <w:rsid w:val="00B0602B"/>
    <w:rsid w:val="00B060AB"/>
    <w:rsid w:val="00B065B9"/>
    <w:rsid w:val="00B07A9F"/>
    <w:rsid w:val="00B12051"/>
    <w:rsid w:val="00B1350C"/>
    <w:rsid w:val="00B1372D"/>
    <w:rsid w:val="00B13789"/>
    <w:rsid w:val="00B15D33"/>
    <w:rsid w:val="00B162C3"/>
    <w:rsid w:val="00B22EA7"/>
    <w:rsid w:val="00B246E2"/>
    <w:rsid w:val="00B269DB"/>
    <w:rsid w:val="00B332D7"/>
    <w:rsid w:val="00B3342A"/>
    <w:rsid w:val="00B34F1F"/>
    <w:rsid w:val="00B40DCF"/>
    <w:rsid w:val="00B41574"/>
    <w:rsid w:val="00B43C7B"/>
    <w:rsid w:val="00B4489A"/>
    <w:rsid w:val="00B4656E"/>
    <w:rsid w:val="00B47AB4"/>
    <w:rsid w:val="00B509ED"/>
    <w:rsid w:val="00B5388B"/>
    <w:rsid w:val="00B54162"/>
    <w:rsid w:val="00B542D3"/>
    <w:rsid w:val="00B560B0"/>
    <w:rsid w:val="00B56A1E"/>
    <w:rsid w:val="00B57284"/>
    <w:rsid w:val="00B57F14"/>
    <w:rsid w:val="00B6035B"/>
    <w:rsid w:val="00B629A7"/>
    <w:rsid w:val="00B64E58"/>
    <w:rsid w:val="00B666ED"/>
    <w:rsid w:val="00B70DED"/>
    <w:rsid w:val="00B7317D"/>
    <w:rsid w:val="00B73533"/>
    <w:rsid w:val="00B73E35"/>
    <w:rsid w:val="00B76556"/>
    <w:rsid w:val="00B836D5"/>
    <w:rsid w:val="00B840AB"/>
    <w:rsid w:val="00B84FE0"/>
    <w:rsid w:val="00B90C4D"/>
    <w:rsid w:val="00B90FF7"/>
    <w:rsid w:val="00B92C79"/>
    <w:rsid w:val="00B952EB"/>
    <w:rsid w:val="00B96270"/>
    <w:rsid w:val="00B966AE"/>
    <w:rsid w:val="00B97680"/>
    <w:rsid w:val="00BA069E"/>
    <w:rsid w:val="00BA0EAF"/>
    <w:rsid w:val="00BA12FD"/>
    <w:rsid w:val="00BA34AB"/>
    <w:rsid w:val="00BA5DE0"/>
    <w:rsid w:val="00BA69BB"/>
    <w:rsid w:val="00BA7956"/>
    <w:rsid w:val="00BA7B67"/>
    <w:rsid w:val="00BB143A"/>
    <w:rsid w:val="00BB77ED"/>
    <w:rsid w:val="00BC07D9"/>
    <w:rsid w:val="00BC0F68"/>
    <w:rsid w:val="00BC1E29"/>
    <w:rsid w:val="00BC4347"/>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8EB"/>
    <w:rsid w:val="00C05D5F"/>
    <w:rsid w:val="00C062CC"/>
    <w:rsid w:val="00C06C13"/>
    <w:rsid w:val="00C076E1"/>
    <w:rsid w:val="00C10609"/>
    <w:rsid w:val="00C1296E"/>
    <w:rsid w:val="00C14C0B"/>
    <w:rsid w:val="00C15887"/>
    <w:rsid w:val="00C16124"/>
    <w:rsid w:val="00C168B8"/>
    <w:rsid w:val="00C16B94"/>
    <w:rsid w:val="00C1764C"/>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1DBC"/>
    <w:rsid w:val="00CA30D7"/>
    <w:rsid w:val="00CA4F90"/>
    <w:rsid w:val="00CB3AE8"/>
    <w:rsid w:val="00CB3EA3"/>
    <w:rsid w:val="00CB5902"/>
    <w:rsid w:val="00CB5D2C"/>
    <w:rsid w:val="00CC14E4"/>
    <w:rsid w:val="00CC2443"/>
    <w:rsid w:val="00CD1675"/>
    <w:rsid w:val="00CD399D"/>
    <w:rsid w:val="00CD4642"/>
    <w:rsid w:val="00CD5308"/>
    <w:rsid w:val="00CE0A4E"/>
    <w:rsid w:val="00CE2266"/>
    <w:rsid w:val="00CE5B2D"/>
    <w:rsid w:val="00CE5E6E"/>
    <w:rsid w:val="00CE618F"/>
    <w:rsid w:val="00CE6508"/>
    <w:rsid w:val="00CF3B11"/>
    <w:rsid w:val="00CF77E7"/>
    <w:rsid w:val="00CF7E4F"/>
    <w:rsid w:val="00D023FE"/>
    <w:rsid w:val="00D0487F"/>
    <w:rsid w:val="00D101F0"/>
    <w:rsid w:val="00D10B7A"/>
    <w:rsid w:val="00D1209D"/>
    <w:rsid w:val="00D122FC"/>
    <w:rsid w:val="00D13AEB"/>
    <w:rsid w:val="00D14674"/>
    <w:rsid w:val="00D14BFB"/>
    <w:rsid w:val="00D178DE"/>
    <w:rsid w:val="00D202DB"/>
    <w:rsid w:val="00D21A57"/>
    <w:rsid w:val="00D2210B"/>
    <w:rsid w:val="00D222CE"/>
    <w:rsid w:val="00D22EBA"/>
    <w:rsid w:val="00D252DC"/>
    <w:rsid w:val="00D34179"/>
    <w:rsid w:val="00D3737D"/>
    <w:rsid w:val="00D37406"/>
    <w:rsid w:val="00D377BF"/>
    <w:rsid w:val="00D4207E"/>
    <w:rsid w:val="00D44386"/>
    <w:rsid w:val="00D444F3"/>
    <w:rsid w:val="00D4554B"/>
    <w:rsid w:val="00D530AF"/>
    <w:rsid w:val="00D54B07"/>
    <w:rsid w:val="00D55776"/>
    <w:rsid w:val="00D6038E"/>
    <w:rsid w:val="00D605E7"/>
    <w:rsid w:val="00D60772"/>
    <w:rsid w:val="00D60B47"/>
    <w:rsid w:val="00D616FD"/>
    <w:rsid w:val="00D6281A"/>
    <w:rsid w:val="00D6590C"/>
    <w:rsid w:val="00D66B7A"/>
    <w:rsid w:val="00D67E11"/>
    <w:rsid w:val="00D719F3"/>
    <w:rsid w:val="00D721B4"/>
    <w:rsid w:val="00D72AC3"/>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1ED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DDF"/>
    <w:rsid w:val="00E11FB2"/>
    <w:rsid w:val="00E12664"/>
    <w:rsid w:val="00E1274D"/>
    <w:rsid w:val="00E13203"/>
    <w:rsid w:val="00E135BE"/>
    <w:rsid w:val="00E13CA2"/>
    <w:rsid w:val="00E14D5C"/>
    <w:rsid w:val="00E155C4"/>
    <w:rsid w:val="00E15AF3"/>
    <w:rsid w:val="00E161D1"/>
    <w:rsid w:val="00E1689F"/>
    <w:rsid w:val="00E171CD"/>
    <w:rsid w:val="00E17254"/>
    <w:rsid w:val="00E212BE"/>
    <w:rsid w:val="00E21FA4"/>
    <w:rsid w:val="00E22D24"/>
    <w:rsid w:val="00E22F24"/>
    <w:rsid w:val="00E2382F"/>
    <w:rsid w:val="00E24E5D"/>
    <w:rsid w:val="00E3217C"/>
    <w:rsid w:val="00E32C3E"/>
    <w:rsid w:val="00E36741"/>
    <w:rsid w:val="00E373AE"/>
    <w:rsid w:val="00E41597"/>
    <w:rsid w:val="00E4172D"/>
    <w:rsid w:val="00E4182E"/>
    <w:rsid w:val="00E50413"/>
    <w:rsid w:val="00E544EA"/>
    <w:rsid w:val="00E55935"/>
    <w:rsid w:val="00E57237"/>
    <w:rsid w:val="00E61862"/>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BB7"/>
    <w:rsid w:val="00ED7EF1"/>
    <w:rsid w:val="00EE610D"/>
    <w:rsid w:val="00EE6A58"/>
    <w:rsid w:val="00EF2CCA"/>
    <w:rsid w:val="00EF59D3"/>
    <w:rsid w:val="00EF7BA0"/>
    <w:rsid w:val="00F00288"/>
    <w:rsid w:val="00F03745"/>
    <w:rsid w:val="00F03899"/>
    <w:rsid w:val="00F10329"/>
    <w:rsid w:val="00F12718"/>
    <w:rsid w:val="00F12B22"/>
    <w:rsid w:val="00F13C9F"/>
    <w:rsid w:val="00F14DD1"/>
    <w:rsid w:val="00F14EF6"/>
    <w:rsid w:val="00F16E43"/>
    <w:rsid w:val="00F16FED"/>
    <w:rsid w:val="00F17570"/>
    <w:rsid w:val="00F178B5"/>
    <w:rsid w:val="00F20D57"/>
    <w:rsid w:val="00F22550"/>
    <w:rsid w:val="00F23334"/>
    <w:rsid w:val="00F2738E"/>
    <w:rsid w:val="00F3016E"/>
    <w:rsid w:val="00F32D37"/>
    <w:rsid w:val="00F379AA"/>
    <w:rsid w:val="00F40BEC"/>
    <w:rsid w:val="00F44761"/>
    <w:rsid w:val="00F46AB3"/>
    <w:rsid w:val="00F474B2"/>
    <w:rsid w:val="00F50369"/>
    <w:rsid w:val="00F50692"/>
    <w:rsid w:val="00F5173D"/>
    <w:rsid w:val="00F52276"/>
    <w:rsid w:val="00F565B8"/>
    <w:rsid w:val="00F575A7"/>
    <w:rsid w:val="00F60831"/>
    <w:rsid w:val="00F64B68"/>
    <w:rsid w:val="00F65854"/>
    <w:rsid w:val="00F65AD3"/>
    <w:rsid w:val="00F70531"/>
    <w:rsid w:val="00F71128"/>
    <w:rsid w:val="00F71E53"/>
    <w:rsid w:val="00F72EFC"/>
    <w:rsid w:val="00F768AB"/>
    <w:rsid w:val="00F76A08"/>
    <w:rsid w:val="00F81D9A"/>
    <w:rsid w:val="00F85DCD"/>
    <w:rsid w:val="00F875D2"/>
    <w:rsid w:val="00F90490"/>
    <w:rsid w:val="00F90EA3"/>
    <w:rsid w:val="00F93577"/>
    <w:rsid w:val="00F94AE4"/>
    <w:rsid w:val="00F97389"/>
    <w:rsid w:val="00F976AC"/>
    <w:rsid w:val="00F97B09"/>
    <w:rsid w:val="00FA12AD"/>
    <w:rsid w:val="00FA1C85"/>
    <w:rsid w:val="00FA3864"/>
    <w:rsid w:val="00FA43C3"/>
    <w:rsid w:val="00FA48E5"/>
    <w:rsid w:val="00FA6964"/>
    <w:rsid w:val="00FA6D1C"/>
    <w:rsid w:val="00FB19A9"/>
    <w:rsid w:val="00FB3916"/>
    <w:rsid w:val="00FC097D"/>
    <w:rsid w:val="00FC0A54"/>
    <w:rsid w:val="00FC2F2E"/>
    <w:rsid w:val="00FC3A41"/>
    <w:rsid w:val="00FD314F"/>
    <w:rsid w:val="00FD3F68"/>
    <w:rsid w:val="00FD583B"/>
    <w:rsid w:val="00FD6099"/>
    <w:rsid w:val="00FD668C"/>
    <w:rsid w:val="00FD6BBF"/>
    <w:rsid w:val="00FD707C"/>
    <w:rsid w:val="00FE51BD"/>
    <w:rsid w:val="00FE5DC3"/>
    <w:rsid w:val="00FE78D4"/>
    <w:rsid w:val="00FF1779"/>
    <w:rsid w:val="00FF1981"/>
    <w:rsid w:val="00FF2340"/>
    <w:rsid w:val="00FF4016"/>
    <w:rsid w:val="00FF60C7"/>
    <w:rsid w:val="00FF7392"/>
    <w:rsid w:val="011B684E"/>
    <w:rsid w:val="01A62C8A"/>
    <w:rsid w:val="023B43DC"/>
    <w:rsid w:val="0293F208"/>
    <w:rsid w:val="0464A5C7"/>
    <w:rsid w:val="058333CD"/>
    <w:rsid w:val="074D26E8"/>
    <w:rsid w:val="075B8301"/>
    <w:rsid w:val="092CD102"/>
    <w:rsid w:val="0942DA12"/>
    <w:rsid w:val="0AD44D4E"/>
    <w:rsid w:val="0C44DA93"/>
    <w:rsid w:val="0F4221C7"/>
    <w:rsid w:val="110F26B1"/>
    <w:rsid w:val="111DAC3C"/>
    <w:rsid w:val="116084B7"/>
    <w:rsid w:val="12F8B587"/>
    <w:rsid w:val="13404ED0"/>
    <w:rsid w:val="13525857"/>
    <w:rsid w:val="16A56C8D"/>
    <w:rsid w:val="17C38E55"/>
    <w:rsid w:val="17E2F553"/>
    <w:rsid w:val="19048B44"/>
    <w:rsid w:val="19D3C5C7"/>
    <w:rsid w:val="1A7D41CF"/>
    <w:rsid w:val="1A9C6136"/>
    <w:rsid w:val="1AC0D0B7"/>
    <w:rsid w:val="1C40757E"/>
    <w:rsid w:val="1C474503"/>
    <w:rsid w:val="1E506B5D"/>
    <w:rsid w:val="1E7D52C3"/>
    <w:rsid w:val="1F9A3182"/>
    <w:rsid w:val="1FD3237E"/>
    <w:rsid w:val="20501F1C"/>
    <w:rsid w:val="21CE0EBF"/>
    <w:rsid w:val="2313E6E9"/>
    <w:rsid w:val="24485B15"/>
    <w:rsid w:val="24C236CE"/>
    <w:rsid w:val="25F40646"/>
    <w:rsid w:val="271345E1"/>
    <w:rsid w:val="274CCF7C"/>
    <w:rsid w:val="28A5D965"/>
    <w:rsid w:val="2966A27A"/>
    <w:rsid w:val="2CDB06AC"/>
    <w:rsid w:val="2E9771D2"/>
    <w:rsid w:val="2F20A6EF"/>
    <w:rsid w:val="30A0116D"/>
    <w:rsid w:val="33D7055A"/>
    <w:rsid w:val="36391490"/>
    <w:rsid w:val="373D6527"/>
    <w:rsid w:val="3741DB61"/>
    <w:rsid w:val="38BF02BC"/>
    <w:rsid w:val="3992DC5F"/>
    <w:rsid w:val="3B12C390"/>
    <w:rsid w:val="3B7654CF"/>
    <w:rsid w:val="3BA03CD3"/>
    <w:rsid w:val="3BFFBE4D"/>
    <w:rsid w:val="3DED0232"/>
    <w:rsid w:val="3EB8D144"/>
    <w:rsid w:val="3EF7F1BC"/>
    <w:rsid w:val="3F959A5B"/>
    <w:rsid w:val="3F96CD3A"/>
    <w:rsid w:val="42804DFB"/>
    <w:rsid w:val="4285B13D"/>
    <w:rsid w:val="42FD6674"/>
    <w:rsid w:val="44A9BC82"/>
    <w:rsid w:val="45499B00"/>
    <w:rsid w:val="456E4695"/>
    <w:rsid w:val="45C56C48"/>
    <w:rsid w:val="45F54215"/>
    <w:rsid w:val="48105875"/>
    <w:rsid w:val="492E6557"/>
    <w:rsid w:val="4A4B03F9"/>
    <w:rsid w:val="4B14A3E1"/>
    <w:rsid w:val="4BB12688"/>
    <w:rsid w:val="50A11EAE"/>
    <w:rsid w:val="51650254"/>
    <w:rsid w:val="51650C56"/>
    <w:rsid w:val="537E6D8C"/>
    <w:rsid w:val="5876D696"/>
    <w:rsid w:val="58D67C3F"/>
    <w:rsid w:val="5996592E"/>
    <w:rsid w:val="5BAE3879"/>
    <w:rsid w:val="5D0B0920"/>
    <w:rsid w:val="5DE29F9A"/>
    <w:rsid w:val="5FFFDD0F"/>
    <w:rsid w:val="6140E1F6"/>
    <w:rsid w:val="62EA585C"/>
    <w:rsid w:val="64B86B45"/>
    <w:rsid w:val="64CB48F4"/>
    <w:rsid w:val="65740DAF"/>
    <w:rsid w:val="6661E3CD"/>
    <w:rsid w:val="67CB1011"/>
    <w:rsid w:val="6835C44B"/>
    <w:rsid w:val="69DF9B87"/>
    <w:rsid w:val="6AAA75C2"/>
    <w:rsid w:val="6B34384C"/>
    <w:rsid w:val="6B4585A8"/>
    <w:rsid w:val="6BC23B64"/>
    <w:rsid w:val="6BFF330C"/>
    <w:rsid w:val="6CBB68EF"/>
    <w:rsid w:val="6CF1A13F"/>
    <w:rsid w:val="6CFF5713"/>
    <w:rsid w:val="6E696293"/>
    <w:rsid w:val="6F1EB5F1"/>
    <w:rsid w:val="6F2C465B"/>
    <w:rsid w:val="6F7BAF33"/>
    <w:rsid w:val="6FF9C713"/>
    <w:rsid w:val="712064AE"/>
    <w:rsid w:val="72532FB9"/>
    <w:rsid w:val="72A9088D"/>
    <w:rsid w:val="733053CA"/>
    <w:rsid w:val="753C75DD"/>
    <w:rsid w:val="7722978A"/>
    <w:rsid w:val="77690979"/>
    <w:rsid w:val="779FE5C8"/>
    <w:rsid w:val="77C563C6"/>
    <w:rsid w:val="78D2D2A1"/>
    <w:rsid w:val="7AB251F8"/>
    <w:rsid w:val="7AFC39AA"/>
    <w:rsid w:val="7BA61C23"/>
    <w:rsid w:val="7D164783"/>
    <w:rsid w:val="7DFF147E"/>
    <w:rsid w:val="7E960D71"/>
    <w:rsid w:val="7ED33E81"/>
    <w:rsid w:val="7EFFA5BD"/>
    <w:rsid w:val="7FDFB5B3"/>
    <w:rsid w:val="7FFF528B"/>
    <w:rsid w:val="8090E4D6"/>
    <w:rsid w:val="872695EE"/>
    <w:rsid w:val="87AE1E05"/>
    <w:rsid w:val="881123DA"/>
    <w:rsid w:val="8D95C60E"/>
    <w:rsid w:val="8E00FBFF"/>
    <w:rsid w:val="8E6D92AA"/>
    <w:rsid w:val="8F4DCC09"/>
    <w:rsid w:val="8FD38670"/>
    <w:rsid w:val="917B6373"/>
    <w:rsid w:val="93D7CF9A"/>
    <w:rsid w:val="9413FE11"/>
    <w:rsid w:val="94D01BD7"/>
    <w:rsid w:val="9632202D"/>
    <w:rsid w:val="9834F742"/>
    <w:rsid w:val="98C39B17"/>
    <w:rsid w:val="994846C5"/>
    <w:rsid w:val="9AF9421D"/>
    <w:rsid w:val="9DDD3333"/>
    <w:rsid w:val="A2C1FF12"/>
    <w:rsid w:val="A7B7F770"/>
    <w:rsid w:val="A8A54F1E"/>
    <w:rsid w:val="A8FE7D34"/>
    <w:rsid w:val="AA7D4D76"/>
    <w:rsid w:val="AC8449BF"/>
    <w:rsid w:val="ADD09375"/>
    <w:rsid w:val="B009DA4C"/>
    <w:rsid w:val="B04585FB"/>
    <w:rsid w:val="B04D3705"/>
    <w:rsid w:val="B1D3C58D"/>
    <w:rsid w:val="B53DD4FD"/>
    <w:rsid w:val="B5EF12F7"/>
    <w:rsid w:val="B61DCE83"/>
    <w:rsid w:val="B686E320"/>
    <w:rsid w:val="B6FE60E8"/>
    <w:rsid w:val="B8870C3E"/>
    <w:rsid w:val="B8CB201A"/>
    <w:rsid w:val="B9FDB383"/>
    <w:rsid w:val="BC58A408"/>
    <w:rsid w:val="BEA84703"/>
    <w:rsid w:val="BED47238"/>
    <w:rsid w:val="C18A2C2F"/>
    <w:rsid w:val="C1DCF28F"/>
    <w:rsid w:val="C44FB9AC"/>
    <w:rsid w:val="C913A729"/>
    <w:rsid w:val="C9D373AC"/>
    <w:rsid w:val="CBD5A123"/>
    <w:rsid w:val="CBFE9D88"/>
    <w:rsid w:val="CC406C44"/>
    <w:rsid w:val="CD81204C"/>
    <w:rsid w:val="CD99DB3A"/>
    <w:rsid w:val="D0172013"/>
    <w:rsid w:val="D1F973B6"/>
    <w:rsid w:val="D20F64BE"/>
    <w:rsid w:val="D31835E3"/>
    <w:rsid w:val="D47EC3D9"/>
    <w:rsid w:val="D60739CE"/>
    <w:rsid w:val="D77FFD6D"/>
    <w:rsid w:val="D83B19CC"/>
    <w:rsid w:val="DA67191B"/>
    <w:rsid w:val="DAEB1D57"/>
    <w:rsid w:val="DDD3B700"/>
    <w:rsid w:val="DECC3B1F"/>
    <w:rsid w:val="DFFF596C"/>
    <w:rsid w:val="E4EDE112"/>
    <w:rsid w:val="E5DAB011"/>
    <w:rsid w:val="E6484797"/>
    <w:rsid w:val="E99063C4"/>
    <w:rsid w:val="E9EE6CC0"/>
    <w:rsid w:val="EBDF588C"/>
    <w:rsid w:val="F1811F68"/>
    <w:rsid w:val="F506B443"/>
    <w:rsid w:val="F5A58099"/>
    <w:rsid w:val="F67F9FDF"/>
    <w:rsid w:val="F6AB4251"/>
    <w:rsid w:val="F6FD7546"/>
    <w:rsid w:val="F73CB94D"/>
    <w:rsid w:val="F74AE378"/>
    <w:rsid w:val="F7A7EED8"/>
    <w:rsid w:val="F7FE23EA"/>
    <w:rsid w:val="F819779F"/>
    <w:rsid w:val="FB7D6119"/>
    <w:rsid w:val="FBF6C279"/>
    <w:rsid w:val="FBFA8B99"/>
    <w:rsid w:val="FCD1E54A"/>
    <w:rsid w:val="FD222647"/>
    <w:rsid w:val="FF18EB13"/>
    <w:rsid w:val="FFCE064D"/>
    <w:rsid w:val="FFF7A950"/>
    <w:rsid w:val="FFFB3212"/>
    <w:rsid w:val="FFFF22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eastAsia="宋体" w:cs="Times New Roman"/>
      <w:szCs w:val="24"/>
      <w:lang w:bidi="ar-SA"/>
    </w:rPr>
  </w:style>
  <w:style w:type="paragraph" w:styleId="4">
    <w:name w:val="Normal Indent"/>
    <w:basedOn w:val="1"/>
    <w:next w:val="1"/>
    <w:qFormat/>
    <w:uiPriority w:val="99"/>
    <w:pPr>
      <w:suppressAutoHyphens/>
      <w:bidi w:val="0"/>
      <w:ind w:firstLine="420" w:firstLineChars="200"/>
    </w:pPr>
    <w:rPr>
      <w:rFonts w:ascii="宋体" w:hAnsi="Times New Roman" w:eastAsia="宋体" w:cs="Times New Roman"/>
      <w:color w:val="auto"/>
      <w:szCs w:val="24"/>
      <w:lang w:bidi="ar-SA"/>
    </w:rPr>
  </w:style>
  <w:style w:type="paragraph" w:styleId="5">
    <w:name w:val="Document Map"/>
    <w:basedOn w:val="1"/>
    <w:semiHidden/>
    <w:uiPriority w:val="0"/>
    <w:pPr>
      <w:shd w:val="clear" w:color="auto" w:fill="000080"/>
    </w:pPr>
  </w:style>
  <w:style w:type="paragraph" w:styleId="6">
    <w:name w:val="Date"/>
    <w:basedOn w:val="1"/>
    <w:next w:val="1"/>
    <w:link w:val="16"/>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7"/>
    <w:uiPriority w:val="0"/>
    <w:pPr>
      <w:tabs>
        <w:tab w:val="center" w:pos="4153"/>
        <w:tab w:val="right" w:pos="8306"/>
      </w:tabs>
      <w:snapToGrid w:val="0"/>
      <w:jc w:val="left"/>
    </w:pPr>
    <w:rPr>
      <w:sz w:val="18"/>
      <w:szCs w:val="18"/>
    </w:rPr>
  </w:style>
  <w:style w:type="paragraph" w:styleId="9">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9"/>
    <w:uiPriority w:val="0"/>
    <w:pPr>
      <w:suppressAutoHyphens/>
      <w:snapToGrid w:val="0"/>
      <w:jc w:val="left"/>
    </w:pPr>
    <w:rPr>
      <w:rFonts w:ascii="Calibri" w:hAnsi="Calibri" w:eastAsia="宋体" w:cs="Times New Roman"/>
      <w:sz w:val="18"/>
      <w:szCs w:val="24"/>
      <w:lang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paragraph" w:customStyle="1" w:styleId="15">
    <w:name w:val="局发文正文"/>
    <w:basedOn w:val="1"/>
    <w:uiPriority w:val="0"/>
    <w:pPr>
      <w:adjustRightInd w:val="0"/>
      <w:spacing w:line="600" w:lineRule="exact"/>
      <w:ind w:firstLine="200" w:firstLineChars="200"/>
      <w:textAlignment w:val="baseline"/>
    </w:pPr>
    <w:rPr>
      <w:rFonts w:ascii="仿宋_GB2312" w:hAnsi="Times New Roman" w:eastAsia="仿宋_GB2312" w:cs="Times New Roman"/>
      <w:caps/>
      <w:spacing w:val="6"/>
      <w:kern w:val="0"/>
      <w:sz w:val="30"/>
      <w:szCs w:val="20"/>
      <w:lang w:bidi="ar-SA"/>
    </w:rPr>
  </w:style>
  <w:style w:type="character" w:customStyle="1" w:styleId="16">
    <w:name w:val=" Char Char2"/>
    <w:basedOn w:val="13"/>
    <w:link w:val="6"/>
    <w:uiPriority w:val="0"/>
    <w:rPr>
      <w:rFonts w:ascii="仿宋_GB2312" w:hAnsi="Times New Roman" w:eastAsia="仿宋_GB2312" w:cs="Times New Roman"/>
      <w:kern w:val="2"/>
      <w:sz w:val="32"/>
      <w:szCs w:val="24"/>
      <w:lang w:bidi="ar-SA"/>
    </w:rPr>
  </w:style>
  <w:style w:type="character" w:customStyle="1" w:styleId="17">
    <w:name w:val=" Char Char"/>
    <w:basedOn w:val="13"/>
    <w:link w:val="8"/>
    <w:semiHidden/>
    <w:uiPriority w:val="99"/>
    <w:rPr>
      <w:rFonts w:ascii="Calibri" w:hAnsi="Calibri" w:eastAsia="宋体" w:cs="Mongolian Baiti"/>
      <w:kern w:val="2"/>
      <w:sz w:val="18"/>
      <w:szCs w:val="22"/>
    </w:rPr>
  </w:style>
  <w:style w:type="character" w:customStyle="1" w:styleId="18">
    <w:name w:val=" Char Char1"/>
    <w:basedOn w:val="13"/>
    <w:link w:val="9"/>
    <w:semiHidden/>
    <w:uiPriority w:val="99"/>
    <w:rPr>
      <w:rFonts w:ascii="Calibri" w:hAnsi="Calibri" w:eastAsia="宋体" w:cs="Mongolian Baiti"/>
      <w:kern w:val="2"/>
      <w:sz w:val="18"/>
      <w:szCs w:val="22"/>
    </w:rPr>
  </w:style>
  <w:style w:type="character" w:customStyle="1" w:styleId="19">
    <w:name w:val="页脚 字符"/>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2023-10-08T11:11:20Z</cp:lastPrinted>
  <dcterms:modified xsi:type="dcterms:W3CDTF">2023-10-11T02:23:57Z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