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做好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全区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第四次全国农业普查工作的通知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内政字〔2025〕112号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各盟行政公署、市人民政府，各旗县人民政府，自治区各委、办、厅、局：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为认真落实《国务院关于开展第四次全国农业普查的通知》（国发〔2025〕9号）部署要求，全力做好全区第四次全国农业普查工作，现就有关事宜通知如下。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 w:bidi="ar"/>
        </w:rPr>
        <w:t>一、普查对象、行业范围、内容和时间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（一）普查对象。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在自治区行政区域内的相关个人和单位，主要包括：农村牧区住户（包括农村牧区农牧业生产经营户和其他住户）、城镇农牧业生产经营户、农牧业生产经营单位、苏木乡镇人民政府、嘎查村民委员会。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（二）普查行业范围。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农作物种植业、林业、畜牧业、渔业和农林牧渔服务业等行业。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</w:t>
      </w:r>
      <w:r>
        <w:rPr>
          <w:rStyle w:val="12"/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）</w:t>
      </w:r>
      <w:r>
        <w:rPr>
          <w:rStyle w:val="12"/>
          <w:rFonts w:hint="eastAsia" w:ascii="方正楷体简体" w:hAnsi="方正楷体简体" w:eastAsia="方正楷体简体" w:cs="方正楷体简体"/>
          <w:b w:val="0"/>
          <w:bCs/>
          <w:spacing w:val="-11"/>
          <w:kern w:val="0"/>
          <w:sz w:val="32"/>
          <w:szCs w:val="32"/>
          <w:lang w:val="en-US" w:eastAsia="zh-CN" w:bidi="ar"/>
        </w:rPr>
        <w:t>普查内容。</w:t>
      </w:r>
      <w:r>
        <w:rPr>
          <w:rFonts w:hint="eastAsia" w:ascii="方正仿宋_GBK" w:hAnsi="方正仿宋_GBK" w:eastAsia="方正仿宋_GBK" w:cs="方正仿宋_GBK"/>
          <w:spacing w:val="-11"/>
          <w:kern w:val="2"/>
          <w:sz w:val="32"/>
          <w:szCs w:val="32"/>
          <w:lang w:val="en-US" w:eastAsia="zh-CN" w:bidi="ar-SA"/>
        </w:rPr>
        <w:t>农牧业生产条件、粮食和大食物生产情况、农牧业新质生产力情况、乡村发展基本情况、农村牧区居民生活情况等。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方正楷体简体" w:hAnsi="方正楷体简体" w:eastAsia="方正楷体简体" w:cs="方正楷体简体"/>
          <w:b w:val="0"/>
          <w:bCs/>
          <w:kern w:val="0"/>
          <w:sz w:val="32"/>
          <w:szCs w:val="32"/>
          <w:lang w:val="en-US" w:eastAsia="zh-CN" w:bidi="ar"/>
        </w:rPr>
        <w:t>（四）普查时间。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普查的标准时点为2026年12月31日24时，时期资料为2026年年度资料。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12"/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12"/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 w:bidi="ar"/>
        </w:rPr>
        <w:t>二、组织实施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成立自治区第四次全国农业普查领导小组（以下简称领导小组，不作为自治区人民政府议事协调机构，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  <w:t>普查任务完成后自动撤销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），负责组织全区农业普查工作，协调解决普查工作中的重大问题。领导小组办公室设在自治区统计局，负责全区农业普查的综合协调和具体实施工作。领导小组各成员单位要各司其职、各负其责、通力协作、密切配合、信息共享，合力做好普查各项工作。各相关部门要切实做好普查经费、宣传动员、遥感测量等方面的保障和协调工作，按照规定及时提供普查所需的行政记录、卫星遥感影像、行政边界和其他数据信息等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盟行政公署、市人民政府，各旗县（市、区）人民政府要按照《全国农业普查条例》规定，建立健全本地区农业普查组织领导机构，认真组织好本地区的普查实施工作，采取有效措施及时解决普查工作中遇到的困难和问题。要充分发挥苏木乡镇人民政府（街道办事处）和嘎查村民委员会（居民委员会）的作用，广泛动员和组织社会力量积极参与、配合做好普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12"/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12"/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 w:bidi="ar"/>
        </w:rPr>
        <w:t>三、经费保障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全区第四次全国农业普查所需经费按现行经费渠道，由中央和自治区各级人民政府共同负担，列入相应年度财政预算，确保按时拨付、足额到位。各盟市要做好本行政区域内旗县（市、区）特别是财政困难旗县（市、区）普查经费的督促落实工作，坚决杜绝由于财政预算不落实影响普查工作的情况。要加强普查经费管理，专款专用，厉行节约，提高普查经费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Style w:val="12"/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12"/>
          <w:rFonts w:hint="eastAsia" w:ascii="方正黑体简体" w:hAnsi="方正黑体简体" w:eastAsia="方正黑体简体" w:cs="方正黑体简体"/>
          <w:b w:val="0"/>
          <w:bCs/>
          <w:kern w:val="0"/>
          <w:sz w:val="32"/>
          <w:szCs w:val="32"/>
          <w:lang w:val="en-US" w:eastAsia="zh-CN" w:bidi="ar"/>
        </w:rPr>
        <w:t>四、工作要求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地区各部门要坚持以铸牢中华民族共同体意识为工作主线，认真学习领会国发〔2025〕9号文件（可通过国务院门户网站下载）精神和要求，提前做好普查机构组建、经费预算编制、普查队伍组建、部门沟通协作等方面的准备工作，确保普查工作如期顺利开展。要实事求是开展普查登记，严格执行普查方案，加强普查指导培训，强化数据质量审核，坚决杜绝统计造假行为，确保普查数据真实准确、完整可信。要认真做好普查宣传，引导社会各界积极参与，为普查工作顺利开展创造良好的氛围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附件：内蒙古自治区第四次全国农业普查领导小组组成人员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名单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1600" w:firstLineChars="5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    2025年7月7日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Style w:val="12"/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Style w:val="12"/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Style w:val="12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</w:t>
      </w:r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第四次全国农业普查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领导小组组成人员名单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组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代  钦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自治区人民政府副主席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武向良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副秘书长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统计局局长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马洪钧    国家统计局内蒙古调查总队总队长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699" w:firstLineChars="53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  磊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发展改革委副主任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自治区农牧厅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457" w:firstLineChars="14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成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员：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王颖中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二级巡视员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737" w:firstLineChars="543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杜培军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党委网信办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副主任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、一级巡视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员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699" w:firstLineChars="53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黄汀碑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自治区党委军民融合办副主任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赵剑南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厅副厅长、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一级巡视员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刘程民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厅副厅长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自治区司法厅副厅长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李文钢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</w:rPr>
        <w:t>人力资源社会保障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</w:rPr>
        <w:t>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自然资源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彭雅丽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管局副局长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刘忠文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广电局副局长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699" w:firstLineChars="53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汪传敬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统计局副局长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718" w:firstLineChars="537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罗洪文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林草局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二级巡视员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1718" w:firstLineChars="537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李凤明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国家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统计局内蒙古调查总队副总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队长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王玉春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内蒙古军区保障局副局长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公  越    武警内蒙古总队保障部副部长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val="en-US" w:eastAsia="zh-CN"/>
        </w:rPr>
        <w:t xml:space="preserve"> 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  <w:t>内蒙古自治区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第四次全国农业普查领导小组办公室主任由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  <w:t>自治区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统计局副局长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  <w:lang w:eastAsia="zh-CN"/>
        </w:rPr>
        <w:t>汪传敬</w:t>
      </w:r>
      <w:r>
        <w:rPr>
          <w:rFonts w:hint="eastAsia" w:ascii="国标仿宋-GB/T 2312" w:hAnsi="国标仿宋-GB/T 2312" w:eastAsia="国标仿宋-GB/T 2312" w:cs="国标仿宋-GB/T 2312"/>
          <w:sz w:val="32"/>
          <w:szCs w:val="32"/>
        </w:rPr>
        <w:t>兼任。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eastAsia="仿宋_GB2312"/>
          <w:sz w:val="28"/>
        </w:rPr>
        <w:t>自治区党委各部门，内蒙古军区，武警内蒙古总队。</w:t>
      </w:r>
    </w:p>
    <w:p>
      <w:pPr>
        <w:spacing w:line="400" w:lineRule="exact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</w:rPr>
        <w:t>自治区人大常委会办公厅</w:t>
      </w:r>
      <w:r>
        <w:rPr>
          <w:rFonts w:hint="eastAsia" w:ascii="仿宋_GB2312" w:eastAsia="仿宋_GB2312"/>
          <w:sz w:val="28"/>
          <w:lang w:eastAsia="zh-CN"/>
        </w:rPr>
        <w:t>，自治区</w:t>
      </w:r>
      <w:r>
        <w:rPr>
          <w:rFonts w:hint="eastAsia" w:ascii="仿宋_GB2312" w:eastAsia="仿宋_GB2312"/>
          <w:sz w:val="28"/>
        </w:rPr>
        <w:t>政协办公厅，</w:t>
      </w:r>
      <w:r>
        <w:rPr>
          <w:rFonts w:hint="eastAsia" w:ascii="仿宋_GB2312" w:eastAsia="仿宋_GB2312"/>
          <w:sz w:val="28"/>
          <w:lang w:eastAsia="zh-CN"/>
        </w:rPr>
        <w:t>自治区监委，</w:t>
      </w:r>
    </w:p>
    <w:p>
      <w:pPr>
        <w:spacing w:line="40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lang w:eastAsia="zh-CN"/>
        </w:rPr>
        <w:t>自治区高</w:t>
      </w:r>
      <w:r>
        <w:rPr>
          <w:rFonts w:hint="eastAsia" w:ascii="仿宋_GB2312" w:eastAsia="仿宋_GB2312"/>
          <w:sz w:val="28"/>
        </w:rPr>
        <w:t>级人民法院，</w:t>
      </w:r>
      <w:r>
        <w:rPr>
          <w:rFonts w:hint="eastAsia" w:ascii="仿宋_GB2312" w:eastAsia="仿宋_GB2312"/>
          <w:sz w:val="28"/>
          <w:lang w:eastAsia="zh-CN"/>
        </w:rPr>
        <w:t>自治区人民</w:t>
      </w:r>
      <w:r>
        <w:rPr>
          <w:rFonts w:hint="eastAsia" w:ascii="仿宋_GB2312" w:eastAsia="仿宋_GB2312"/>
          <w:sz w:val="28"/>
        </w:rPr>
        <w:t>检察院。</w:t>
      </w:r>
    </w:p>
    <w:p>
      <w:pPr>
        <w:spacing w:line="400" w:lineRule="exact"/>
        <w:ind w:left="0" w:leftChars="0" w:firstLine="1138" w:firstLineChars="542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405130</wp:posOffset>
            </wp:positionV>
            <wp:extent cx="1583690" cy="456565"/>
            <wp:effectExtent l="0" t="0" r="16510" b="635"/>
            <wp:wrapSquare wrapText="bothSides"/>
            <wp:docPr id="1" name="图片 3" descr="NZZ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NZZ1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lang w:eastAsia="zh-CN"/>
        </w:rPr>
        <w:t>各民主党派区委会，</w:t>
      </w:r>
      <w:r>
        <w:rPr>
          <w:rFonts w:hint="eastAsia" w:ascii="仿宋_GB2312" w:eastAsia="仿宋_GB2312"/>
          <w:sz w:val="28"/>
        </w:rPr>
        <w:t>各人民团体，新闻单位。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304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452" w:y="-23"/>
      <w:rPr>
        <w:rStyle w:val="13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892" w:y="-23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D6"/>
    <w:rsid w:val="00047BA6"/>
    <w:rsid w:val="00057363"/>
    <w:rsid w:val="00117314"/>
    <w:rsid w:val="001A0D08"/>
    <w:rsid w:val="001B7709"/>
    <w:rsid w:val="001F0CF1"/>
    <w:rsid w:val="00302982"/>
    <w:rsid w:val="00323128"/>
    <w:rsid w:val="00337358"/>
    <w:rsid w:val="00351DB4"/>
    <w:rsid w:val="00444154"/>
    <w:rsid w:val="00483E09"/>
    <w:rsid w:val="004B2561"/>
    <w:rsid w:val="004E5437"/>
    <w:rsid w:val="004F5F34"/>
    <w:rsid w:val="006048D6"/>
    <w:rsid w:val="006114C2"/>
    <w:rsid w:val="00657167"/>
    <w:rsid w:val="006D172B"/>
    <w:rsid w:val="00721A9B"/>
    <w:rsid w:val="00755D27"/>
    <w:rsid w:val="007C3AD6"/>
    <w:rsid w:val="00816890"/>
    <w:rsid w:val="008259E6"/>
    <w:rsid w:val="00825CE1"/>
    <w:rsid w:val="008408A0"/>
    <w:rsid w:val="00861E84"/>
    <w:rsid w:val="008B5809"/>
    <w:rsid w:val="008E482C"/>
    <w:rsid w:val="00977B1F"/>
    <w:rsid w:val="009C5425"/>
    <w:rsid w:val="00A52B00"/>
    <w:rsid w:val="00AA07E6"/>
    <w:rsid w:val="00AC3BB4"/>
    <w:rsid w:val="00B32830"/>
    <w:rsid w:val="00B33ED2"/>
    <w:rsid w:val="00B45F83"/>
    <w:rsid w:val="00B52F22"/>
    <w:rsid w:val="00B558E6"/>
    <w:rsid w:val="00B8542C"/>
    <w:rsid w:val="00C0296F"/>
    <w:rsid w:val="00C42AAC"/>
    <w:rsid w:val="00C809B3"/>
    <w:rsid w:val="00CB0B2B"/>
    <w:rsid w:val="00CC1415"/>
    <w:rsid w:val="00D04E64"/>
    <w:rsid w:val="00D3579F"/>
    <w:rsid w:val="00DC29B9"/>
    <w:rsid w:val="00DD4FCD"/>
    <w:rsid w:val="00DD63EA"/>
    <w:rsid w:val="00DD700A"/>
    <w:rsid w:val="00DF62D9"/>
    <w:rsid w:val="00E751C2"/>
    <w:rsid w:val="00EB46BE"/>
    <w:rsid w:val="00EC395A"/>
    <w:rsid w:val="00F71128"/>
    <w:rsid w:val="00F71E60"/>
    <w:rsid w:val="00F94438"/>
    <w:rsid w:val="00FC4D7F"/>
    <w:rsid w:val="00FC68EB"/>
    <w:rsid w:val="01E84880"/>
    <w:rsid w:val="031A556A"/>
    <w:rsid w:val="04553DE4"/>
    <w:rsid w:val="07E703D5"/>
    <w:rsid w:val="0A1149A8"/>
    <w:rsid w:val="0D5A0767"/>
    <w:rsid w:val="0EEC7CFE"/>
    <w:rsid w:val="109E518E"/>
    <w:rsid w:val="13473C08"/>
    <w:rsid w:val="13D648FB"/>
    <w:rsid w:val="182C3FC4"/>
    <w:rsid w:val="19D0523F"/>
    <w:rsid w:val="1A97410E"/>
    <w:rsid w:val="1CA15F34"/>
    <w:rsid w:val="217D23BA"/>
    <w:rsid w:val="21A512CA"/>
    <w:rsid w:val="25A20856"/>
    <w:rsid w:val="27355263"/>
    <w:rsid w:val="27B52368"/>
    <w:rsid w:val="27E04077"/>
    <w:rsid w:val="286F5DA8"/>
    <w:rsid w:val="29255FCE"/>
    <w:rsid w:val="29340AB0"/>
    <w:rsid w:val="29AD6BA2"/>
    <w:rsid w:val="2B9D1E25"/>
    <w:rsid w:val="2E8A36D9"/>
    <w:rsid w:val="314E746A"/>
    <w:rsid w:val="34445FFF"/>
    <w:rsid w:val="36193767"/>
    <w:rsid w:val="384F7CFA"/>
    <w:rsid w:val="39682801"/>
    <w:rsid w:val="39903B34"/>
    <w:rsid w:val="39EF1D54"/>
    <w:rsid w:val="3A562936"/>
    <w:rsid w:val="3B7951F1"/>
    <w:rsid w:val="3BB5550B"/>
    <w:rsid w:val="3E8003A9"/>
    <w:rsid w:val="3EEF7260"/>
    <w:rsid w:val="410005D6"/>
    <w:rsid w:val="41332124"/>
    <w:rsid w:val="4C0B03BC"/>
    <w:rsid w:val="4FD33F1F"/>
    <w:rsid w:val="51B4069C"/>
    <w:rsid w:val="55E25698"/>
    <w:rsid w:val="58CFF63F"/>
    <w:rsid w:val="5BED613B"/>
    <w:rsid w:val="5E692068"/>
    <w:rsid w:val="5FBC5E61"/>
    <w:rsid w:val="5FC47C57"/>
    <w:rsid w:val="60FD5936"/>
    <w:rsid w:val="612A5090"/>
    <w:rsid w:val="62593EFD"/>
    <w:rsid w:val="62E3303A"/>
    <w:rsid w:val="666A5A3B"/>
    <w:rsid w:val="67C742AE"/>
    <w:rsid w:val="68C13D1E"/>
    <w:rsid w:val="69AA7AA3"/>
    <w:rsid w:val="6A9B74C2"/>
    <w:rsid w:val="6ADE316A"/>
    <w:rsid w:val="6E6F683C"/>
    <w:rsid w:val="6F2A6F57"/>
    <w:rsid w:val="70B93EF5"/>
    <w:rsid w:val="74F14DE6"/>
    <w:rsid w:val="76167F2F"/>
    <w:rsid w:val="76240541"/>
    <w:rsid w:val="778F7FC5"/>
    <w:rsid w:val="77FF252D"/>
    <w:rsid w:val="79951ADF"/>
    <w:rsid w:val="79BB5AE8"/>
    <w:rsid w:val="7BFB3646"/>
    <w:rsid w:val="7C7734A3"/>
    <w:rsid w:val="7C8F8552"/>
    <w:rsid w:val="7CE65F07"/>
    <w:rsid w:val="7D1850A2"/>
    <w:rsid w:val="7D705487"/>
    <w:rsid w:val="7DBE5431"/>
    <w:rsid w:val="7E6C2D07"/>
    <w:rsid w:val="7EA8264F"/>
    <w:rsid w:val="7FFF3F29"/>
    <w:rsid w:val="7FFFACA6"/>
    <w:rsid w:val="7FFFE11C"/>
    <w:rsid w:val="9CDE7E62"/>
    <w:rsid w:val="9F77F5F4"/>
    <w:rsid w:val="ABD7BE5B"/>
    <w:rsid w:val="BBD90A1C"/>
    <w:rsid w:val="F5FDF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240" w:lineRule="auto"/>
    </w:pPr>
    <w:rPr>
      <w:rFonts w:ascii="Calibri" w:hAnsi="Calibri" w:eastAsia="宋体" w:cs="Times New Roman"/>
      <w:sz w:val="21"/>
      <w:szCs w:val="24"/>
    </w:rPr>
  </w:style>
  <w:style w:type="paragraph" w:styleId="3">
    <w:name w:val="Document Map"/>
    <w:basedOn w:val="1"/>
    <w:semiHidden/>
    <w:uiPriority w:val="0"/>
    <w:pPr>
      <w:shd w:val="clear" w:color="auto" w:fill="000080"/>
      <w:spacing w:line="600" w:lineRule="exact"/>
    </w:pPr>
    <w:rPr>
      <w:rFonts w:ascii="Calibri" w:hAnsi="Calibri" w:eastAsia="仿宋_GB2312" w:cs="Times New Roman"/>
      <w:sz w:val="28"/>
      <w:szCs w:val="22"/>
    </w:rPr>
  </w:style>
  <w:style w:type="paragraph" w:styleId="4">
    <w:name w:val="Date"/>
    <w:basedOn w:val="1"/>
    <w:next w:val="1"/>
    <w:unhideWhenUsed/>
    <w:uiPriority w:val="0"/>
    <w:pPr>
      <w:ind w:left="100" w:leftChars="2500"/>
    </w:pPr>
    <w:rPr>
      <w:rFonts w:ascii="仿宋_GB2312" w:hAnsi="Calibri" w:eastAsia="仿宋_GB2312" w:cs="Times New Roman"/>
      <w:sz w:val="32"/>
      <w:szCs w:val="24"/>
    </w:rPr>
  </w:style>
  <w:style w:type="paragraph" w:styleId="5">
    <w:name w:val="Balloon Text"/>
    <w:basedOn w:val="1"/>
    <w:link w:val="15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100" w:beforeAutospacing="1" w:after="100" w:afterAutospacing="1" w:line="600" w:lineRule="exact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uiPriority w:val="0"/>
    <w:rPr>
      <w:rFonts w:ascii="Calibri" w:hAnsi="Calibri" w:eastAsia="宋体" w:cs="Times New Roman"/>
      <w:b/>
      <w:sz w:val="24"/>
      <w:szCs w:val="32"/>
    </w:rPr>
  </w:style>
  <w:style w:type="character" w:styleId="13">
    <w:name w:val="page number"/>
    <w:basedOn w:val="11"/>
    <w:uiPriority w:val="0"/>
  </w:style>
  <w:style w:type="paragraph" w:customStyle="1" w:styleId="14">
    <w:name w:val="Char Char Char Char Char Char Char"/>
    <w:basedOn w:val="3"/>
    <w:semiHidden/>
    <w:uiPriority w:val="0"/>
    <w:pPr>
      <w:adjustRightInd w:val="0"/>
      <w:spacing w:line="360" w:lineRule="auto"/>
      <w:ind w:left="1276"/>
      <w:jc w:val="center"/>
      <w:outlineLvl w:val="3"/>
    </w:pPr>
    <w:rPr>
      <w:rFonts w:ascii="Tahoma" w:hAnsi="Tahoma" w:eastAsia="仿宋_GB2312"/>
      <w:sz w:val="24"/>
      <w:szCs w:val="32"/>
    </w:rPr>
  </w:style>
  <w:style w:type="character" w:customStyle="1" w:styleId="15">
    <w:name w:val="批注框文本 Char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link w:val="6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Char"/>
    <w:link w:val="7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哈斯高娃:通知发起人</cp:lastModifiedBy>
  <dcterms:modified xsi:type="dcterms:W3CDTF">2025-07-08T09:11:26Z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