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160" w:firstLineChars="50"/>
        <w:jc w:val="center"/>
        <w:textAlignment w:val="auto"/>
        <w:rPr>
          <w:rFonts w:hint="eastAsia" w:ascii="仿宋_GB2312" w:hAnsi="华文仿宋" w:eastAsia="仿宋_GB2312"/>
          <w:sz w:val="32"/>
        </w:rPr>
      </w:pPr>
    </w:p>
    <w:p>
      <w:pPr>
        <w:keepNext w:val="0"/>
        <w:keepLines w:val="0"/>
        <w:pageBreakBefore w:val="0"/>
        <w:widowControl w:val="0"/>
        <w:kinsoku/>
        <w:wordWrap/>
        <w:overflowPunct/>
        <w:topLinePunct/>
        <w:autoSpaceDE/>
        <w:autoSpaceDN/>
        <w:bidi w:val="0"/>
        <w:adjustRightInd w:val="0"/>
        <w:snapToGrid w:val="0"/>
        <w:spacing w:line="58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内蒙古自治区人民政府办公厅关于</w:t>
      </w: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推进产品碳足迹标识认证工作的实施意见</w:t>
      </w: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topLinePunct/>
        <w:autoSpaceDE/>
        <w:autoSpaceDN/>
        <w:bidi w:val="0"/>
        <w:spacing w:line="580" w:lineRule="exact"/>
        <w:jc w:val="center"/>
        <w:textAlignment w:val="auto"/>
        <w:rPr>
          <w:rFonts w:hint="eastAsia"/>
          <w:lang w:eastAsia="zh-CN"/>
        </w:rPr>
      </w:pPr>
      <w:r>
        <w:rPr>
          <w:rFonts w:hint="eastAsia" w:ascii="仿宋_GB2312" w:hAnsi="华文仿宋" w:eastAsia="仿宋_GB2312"/>
          <w:sz w:val="32"/>
          <w:lang w:eastAsia="zh-CN"/>
        </w:rPr>
        <w:t>内政办发〔2025〕29号</w:t>
      </w:r>
    </w:p>
    <w:p>
      <w:pPr>
        <w:keepNext w:val="0"/>
        <w:keepLines w:val="0"/>
        <w:pageBreakBefore w:val="0"/>
        <w:widowControl w:val="0"/>
        <w:kinsoku/>
        <w:wordWrap/>
        <w:overflowPunct/>
        <w:topLinePunct/>
        <w:autoSpaceDE/>
        <w:autoSpaceDN/>
        <w:bidi w:val="0"/>
        <w:spacing w:line="580" w:lineRule="exact"/>
        <w:jc w:val="center"/>
        <w:textAlignment w:val="auto"/>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right="0"/>
        <w:jc w:val="both"/>
        <w:textAlignment w:val="auto"/>
        <w:rPr>
          <w:rFonts w:hint="eastAsia" w:ascii="仿宋" w:hAnsi="仿宋" w:eastAsia="仿宋" w:cs="仿宋"/>
          <w:snapToGrid w:val="0"/>
          <w:kern w:val="2"/>
          <w:sz w:val="32"/>
          <w:szCs w:val="32"/>
          <w:lang w:val="en-US" w:eastAsia="zh-CN" w:bidi="ar"/>
        </w:rPr>
      </w:pPr>
      <w:bookmarkStart w:id="1" w:name="_GoBack"/>
      <w:bookmarkStart w:id="0" w:name="OLE_LINK1"/>
      <w:r>
        <w:rPr>
          <w:rFonts w:hint="eastAsia" w:ascii="仿宋" w:hAnsi="仿宋" w:eastAsia="仿宋" w:cs="仿宋"/>
          <w:snapToGrid w:val="0"/>
          <w:kern w:val="2"/>
          <w:sz w:val="32"/>
          <w:szCs w:val="32"/>
          <w:lang w:val="en-US" w:eastAsia="zh-CN" w:bidi="ar"/>
        </w:rPr>
        <w:t>各盟行政公署、市人民政府，自治区各委、办、厅、局，各大企业、事业单位：</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kern w:val="2"/>
          <w:sz w:val="32"/>
          <w:szCs w:val="32"/>
          <w:lang w:val="en-US" w:eastAsia="zh-CN" w:bidi="ar"/>
        </w:rPr>
        <w:t>为认真贯彻党中央、国务院碳达峰碳中和重大战略决策部署要求，紧紧围绕铸牢中华民族共同体意识工作主线，立足我区区情实际和发展现状，推动建立符合内蒙古产业发展特色的产品碳</w:t>
      </w:r>
      <w:r>
        <w:rPr>
          <w:rFonts w:hint="eastAsia" w:ascii="仿宋" w:hAnsi="仿宋" w:eastAsia="仿宋" w:cs="仿宋"/>
          <w:snapToGrid w:val="0"/>
          <w:spacing w:val="6"/>
          <w:kern w:val="2"/>
          <w:sz w:val="32"/>
          <w:szCs w:val="32"/>
          <w:lang w:val="en-US" w:eastAsia="zh-CN" w:bidi="ar"/>
        </w:rPr>
        <w:t>足迹标识认证制度，健全支撑重点产品绿色电力消费认证机制，</w:t>
      </w:r>
      <w:r>
        <w:rPr>
          <w:rFonts w:hint="eastAsia" w:ascii="仿宋" w:hAnsi="仿宋" w:eastAsia="仿宋" w:cs="仿宋"/>
          <w:snapToGrid w:val="0"/>
          <w:kern w:val="2"/>
          <w:sz w:val="32"/>
          <w:szCs w:val="32"/>
          <w:lang w:val="en-US" w:eastAsia="zh-CN" w:bidi="ar"/>
        </w:rPr>
        <w:t>拓宽和丰富应用场景，推进产品碳足迹标识认证，经自治区人民政府同意，现提出如下意见。</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一、积极开展重点产品碳足迹标识认证</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textAlignment w:val="auto"/>
        <w:rPr>
          <w:rFonts w:hint="eastAsia" w:ascii="仿宋" w:hAnsi="仿宋" w:eastAsia="仿宋" w:cs="仿宋"/>
          <w:snapToGrid w:val="0"/>
          <w:sz w:val="32"/>
          <w:szCs w:val="32"/>
        </w:rPr>
      </w:pPr>
      <w:r>
        <w:rPr>
          <w:rFonts w:hint="eastAsia" w:ascii="仿宋" w:hAnsi="仿宋" w:eastAsia="仿宋" w:cs="仿宋"/>
          <w:snapToGrid w:val="0"/>
          <w:sz w:val="32"/>
          <w:szCs w:val="32"/>
        </w:rPr>
        <w:t>以市场需求迫切、减排贡献突出、产业链供应链带动作用明显的产品为重点，在电解铝、纺织品（山羊绒产品）领域率先开展产品碳足迹标识认证，高质量完成国家试点任务。按照成熟一批推进一批、持续完善的原则，自治区统一发布产品目录，分阶段拓展至新能源、稀土、冶金、化工、大数据、农牧等领域的重点产品，突出重点产品绿色电力消费认证，鼓励使用绿电替代传统能源，完善绿电制氢氨醇、绿色算力、源网荷储等绿电消纳场景应用。</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二、推进产品碳足迹认证标准实施</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kern w:val="2"/>
          <w:sz w:val="32"/>
          <w:szCs w:val="32"/>
          <w:lang w:val="en-US" w:eastAsia="zh-CN" w:bidi="ar"/>
        </w:rPr>
        <w:t>在国家统一标准规则框架下，细化产品碳足迹核算、产品绿</w:t>
      </w:r>
      <w:r>
        <w:rPr>
          <w:rFonts w:hint="eastAsia" w:ascii="仿宋" w:hAnsi="仿宋" w:eastAsia="仿宋" w:cs="仿宋"/>
          <w:snapToGrid w:val="0"/>
          <w:spacing w:val="6"/>
          <w:kern w:val="2"/>
          <w:sz w:val="32"/>
          <w:szCs w:val="32"/>
          <w:lang w:val="en-US" w:eastAsia="zh-CN" w:bidi="ar"/>
        </w:rPr>
        <w:t>色电力消费认证相关技术标准规则，组织相关行业协会、企业、</w:t>
      </w:r>
      <w:r>
        <w:rPr>
          <w:rFonts w:hint="eastAsia" w:ascii="仿宋" w:hAnsi="仿宋" w:eastAsia="仿宋" w:cs="仿宋"/>
          <w:snapToGrid w:val="0"/>
          <w:kern w:val="2"/>
          <w:sz w:val="32"/>
          <w:szCs w:val="32"/>
          <w:lang w:val="en-US" w:eastAsia="zh-CN" w:bidi="ar"/>
        </w:rPr>
        <w:t>科研单位等制定团体标准，完善具体产品碳足迹核算边界、核算方法、数据质量要求，争取转化为行业标准或国家标准。研究制定</w:t>
      </w:r>
      <w:r>
        <w:rPr>
          <w:rFonts w:hint="eastAsia" w:ascii="仿宋" w:hAnsi="仿宋" w:eastAsia="仿宋" w:cs="仿宋"/>
          <w:snapToGrid w:val="0"/>
          <w:color w:val="auto"/>
          <w:kern w:val="2"/>
          <w:sz w:val="32"/>
          <w:szCs w:val="32"/>
          <w:lang w:val="en-US" w:eastAsia="zh-CN" w:bidi="ar"/>
        </w:rPr>
        <w:t>重点产品的</w:t>
      </w:r>
      <w:r>
        <w:rPr>
          <w:rFonts w:hint="eastAsia" w:ascii="仿宋" w:hAnsi="仿宋" w:eastAsia="仿宋" w:cs="仿宋"/>
          <w:snapToGrid w:val="0"/>
          <w:kern w:val="2"/>
          <w:sz w:val="32"/>
          <w:szCs w:val="32"/>
          <w:lang w:val="en-US" w:eastAsia="zh-CN" w:bidi="ar"/>
        </w:rPr>
        <w:t>绿色电力应用评价方法，指导园区、企业做好绿色</w:t>
      </w:r>
      <w:r>
        <w:rPr>
          <w:rFonts w:hint="eastAsia" w:ascii="仿宋" w:hAnsi="仿宋" w:eastAsia="仿宋" w:cs="仿宋"/>
          <w:snapToGrid w:val="0"/>
          <w:spacing w:val="6"/>
          <w:kern w:val="2"/>
          <w:sz w:val="32"/>
          <w:szCs w:val="32"/>
          <w:lang w:val="en-US" w:eastAsia="zh-CN" w:bidi="ar"/>
        </w:rPr>
        <w:t>电力消费基础数据统计。行业主管部门定期发布标准采信清单，</w:t>
      </w:r>
      <w:r>
        <w:rPr>
          <w:rFonts w:hint="eastAsia" w:ascii="仿宋" w:hAnsi="仿宋" w:eastAsia="仿宋" w:cs="仿宋"/>
          <w:snapToGrid w:val="0"/>
          <w:kern w:val="2"/>
          <w:sz w:val="32"/>
          <w:szCs w:val="32"/>
          <w:lang w:val="en-US" w:eastAsia="zh-CN" w:bidi="ar"/>
        </w:rPr>
        <w:t>为企业、机构提供统一规范的规则标准，构建符合我区产业特点的碳足迹标准化管理体系。</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三、搭建碳足迹认证数据服务平台</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kern w:val="2"/>
          <w:sz w:val="32"/>
          <w:szCs w:val="32"/>
          <w:lang w:val="en-US" w:eastAsia="zh-CN" w:bidi="ar"/>
        </w:rPr>
        <w:t>依托国家碳计量中心（内蒙古）碳达峰碳中和在线监测系统，完善产品碳足迹测量数据管理系统、电碳计量核算平台和认证服务平台。逐步建立与完善产品碳足迹数据库，研究产品碳足迹因子数据，与国家数据库形成衔接和补充。依法合规收集管理产品全生命周期碳排放数据，持续提升数据质量。推进认证服务平台应用，畅通涉碳类认证供需渠道，鼓励认证机构入驻平台，实现产品碳足迹标识认证申请、实施、发证、监督等全流程在线管理。</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四、提升产品碳足迹计量保障能力</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kern w:val="2"/>
          <w:sz w:val="32"/>
          <w:szCs w:val="32"/>
          <w:lang w:val="en-US" w:eastAsia="zh-CN" w:bidi="ar"/>
        </w:rPr>
        <w:t>加强碳计量关键技术研究，完善碳计量量传溯源体系，推广应用碳足迹智能计量器具，指导企业在产品碳足迹核算、碳足迹标识认证时优先选用具有计量溯源性的实际测量数据，并对核算</w:t>
      </w:r>
      <w:r>
        <w:rPr>
          <w:rFonts w:hint="eastAsia" w:ascii="仿宋" w:hAnsi="仿宋" w:eastAsia="仿宋" w:cs="仿宋"/>
          <w:snapToGrid w:val="0"/>
          <w:spacing w:val="6"/>
          <w:kern w:val="2"/>
          <w:sz w:val="32"/>
          <w:szCs w:val="32"/>
          <w:lang w:val="en-US" w:eastAsia="zh-CN" w:bidi="ar"/>
        </w:rPr>
        <w:t>结果和数据进行不确定度分析，提升监测、采集、存储、核算、</w:t>
      </w:r>
      <w:r>
        <w:rPr>
          <w:rFonts w:hint="eastAsia" w:ascii="仿宋" w:hAnsi="仿宋" w:eastAsia="仿宋" w:cs="仿宋"/>
          <w:snapToGrid w:val="0"/>
          <w:kern w:val="2"/>
          <w:sz w:val="32"/>
          <w:szCs w:val="32"/>
          <w:lang w:val="en-US" w:eastAsia="zh-CN" w:bidi="ar"/>
        </w:rPr>
        <w:t>校验的数据可靠性与即时性。在积极推进产品碳足迹测量技术和数据质量管理建设项目的基础上，推动建立碳足迹测量技术和数据分析重点实验室、技术中心。</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五、健全产品碳足迹标识认证工作机制</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color w:val="auto"/>
          <w:kern w:val="2"/>
          <w:sz w:val="32"/>
          <w:szCs w:val="32"/>
          <w:lang w:val="en-US" w:eastAsia="zh-CN" w:bidi="ar"/>
        </w:rPr>
        <w:t>自治区市场监管、发展改革、生态环境、工业和信息化等部门要立足职能职责，建立全区统一协调、分工有序的碳足迹标识认证工作体系，探索通过市场手段获取和利用数据资源，推进企业数据资源开发和利用。支持产品碳足迹标识认证技术服务联盟等组织开展产品碳足迹标识认证技术创新研发。推动政府购买产品碳足迹标识认证服务。推进认证结果在零碳园区、零碳工厂评估、绿色工厂评价、碳足迹核算中采信和应用。自治区市场监管、</w:t>
      </w:r>
      <w:r>
        <w:rPr>
          <w:rFonts w:hint="eastAsia" w:ascii="仿宋" w:hAnsi="仿宋" w:eastAsia="仿宋" w:cs="仿宋"/>
          <w:snapToGrid w:val="0"/>
          <w:color w:val="auto"/>
          <w:spacing w:val="6"/>
          <w:kern w:val="2"/>
          <w:sz w:val="32"/>
          <w:szCs w:val="32"/>
          <w:lang w:val="en-US" w:eastAsia="zh-CN" w:bidi="ar"/>
        </w:rPr>
        <w:t>生态环境部门负责做好统筹协调工作，组织成立技术服务联盟，</w:t>
      </w:r>
      <w:r>
        <w:rPr>
          <w:rFonts w:hint="eastAsia" w:ascii="仿宋" w:hAnsi="仿宋" w:eastAsia="仿宋" w:cs="仿宋"/>
          <w:snapToGrid w:val="0"/>
          <w:color w:val="auto"/>
          <w:kern w:val="2"/>
          <w:sz w:val="32"/>
          <w:szCs w:val="32"/>
          <w:lang w:val="en-US" w:eastAsia="zh-CN" w:bidi="ar"/>
        </w:rPr>
        <w:t>做好产品认证、技术培训、交流活动、监督管理和本土涉碳类认证机构培育等工作。自治区发展改革部门负责结合碳达峰碳中和工作，加强对产品碳足迹标识认证实施的政策指导；自治区工业和信息化部门负责指导企业、园区制定产品认证计划，推动企业有序组织实施；财政税务部门负责按照国家及自治区相关规定做好资金保障工作，落实各项已出台的税收优惠政策；自治区金融机构负责创新绿色金融产品和服务模式，做好认证企业融资支持；自治区住房城乡建设、交通运输、农牧、商务、能源等部</w:t>
      </w:r>
      <w:r>
        <w:rPr>
          <w:rFonts w:hint="eastAsia" w:ascii="仿宋" w:hAnsi="仿宋" w:eastAsia="仿宋" w:cs="仿宋"/>
          <w:snapToGrid w:val="0"/>
          <w:color w:val="auto"/>
          <w:spacing w:val="6"/>
          <w:kern w:val="2"/>
          <w:sz w:val="32"/>
          <w:szCs w:val="32"/>
          <w:lang w:val="en-US" w:eastAsia="zh-CN" w:bidi="ar"/>
        </w:rPr>
        <w:t>门，按职</w:t>
      </w:r>
      <w:r>
        <w:rPr>
          <w:rFonts w:hint="eastAsia" w:ascii="仿宋" w:hAnsi="仿宋" w:eastAsia="仿宋" w:cs="仿宋"/>
          <w:snapToGrid w:val="0"/>
          <w:spacing w:val="6"/>
          <w:kern w:val="2"/>
          <w:sz w:val="32"/>
          <w:szCs w:val="32"/>
          <w:lang w:val="en-US" w:eastAsia="zh-CN" w:bidi="ar"/>
        </w:rPr>
        <w:t>责推进产品碳足迹标识认证相关工作；各盟行政公署、</w:t>
      </w:r>
      <w:r>
        <w:rPr>
          <w:rFonts w:hint="eastAsia" w:ascii="仿宋" w:hAnsi="仿宋" w:eastAsia="仿宋" w:cs="仿宋"/>
          <w:snapToGrid w:val="0"/>
          <w:kern w:val="2"/>
          <w:sz w:val="32"/>
          <w:szCs w:val="32"/>
          <w:lang w:val="en-US" w:eastAsia="zh-CN" w:bidi="ar"/>
        </w:rPr>
        <w:t>市人民政府按照国家和自治区有关要求做好产品碳足迹标识认证推广实施，引导企业开展认证工作。</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b/>
          <w:snapToGrid w:val="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六、推动产品碳足迹标识认证示范引领</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5"/>
        <w:jc w:val="both"/>
        <w:textAlignment w:val="auto"/>
        <w:rPr>
          <w:rFonts w:hint="eastAsia" w:ascii="仿宋" w:hAnsi="仿宋" w:eastAsia="仿宋" w:cs="仿宋"/>
          <w:snapToGrid w:val="0"/>
          <w:kern w:val="2"/>
          <w:sz w:val="32"/>
          <w:szCs w:val="32"/>
          <w:lang w:val="en-US" w:eastAsia="zh-CN" w:bidi="ar"/>
        </w:rPr>
      </w:pPr>
      <w:r>
        <w:rPr>
          <w:rFonts w:hint="eastAsia" w:ascii="仿宋" w:hAnsi="仿宋" w:eastAsia="仿宋" w:cs="仿宋"/>
          <w:snapToGrid w:val="0"/>
          <w:kern w:val="2"/>
          <w:sz w:val="32"/>
          <w:szCs w:val="32"/>
          <w:lang w:val="en-US" w:eastAsia="zh-CN" w:bidi="ar"/>
        </w:rPr>
        <w:t>充分发挥碳足迹管理对企业绿色低碳转型的促进作用，将产品碳足迹标识认证作为重要方式，鼓励企业开展产品碳足迹标识认证，带动上下游企业加强碳足迹管理，优化产品生命周期碳足迹管理，提升产品低碳竞争力。鼓励大型商超、电商采销碳足迹标识认证产品，畅通认证产品销售渠道，引导消费者购买和使用碳足迹标识认证产品。鼓励通过认证的企业在其获证产品相关的包装、说明书、广告宣传以及有关材料中使用，披露产品碳足迹标识认证信息，推动企业节能降碳。做好绿色低碳宣传教育，传播绿色低碳理念，扩大产品碳足迹标识认证工作社会知晓度和参与度。</w:t>
      </w:r>
    </w:p>
    <w:p>
      <w:pPr>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snapToGrid w:val="0"/>
          <w:color w:val="000000"/>
          <w:kern w:val="2"/>
          <w:sz w:val="32"/>
          <w:szCs w:val="32"/>
          <w:lang w:val="en-US" w:eastAsia="zh-CN" w:bidi="ar"/>
        </w:rPr>
      </w:pPr>
      <w:r>
        <w:rPr>
          <w:rFonts w:hint="eastAsia" w:ascii="黑体" w:hAnsi="黑体" w:eastAsia="黑体" w:cs="黑体"/>
          <w:snapToGrid w:val="0"/>
          <w:color w:val="000000"/>
          <w:kern w:val="2"/>
          <w:sz w:val="32"/>
          <w:szCs w:val="32"/>
          <w:lang w:val="en-US" w:eastAsia="zh-CN" w:bidi="ar"/>
        </w:rPr>
        <w:t>七、推动碳足迹国际衔接与互认</w:t>
      </w:r>
    </w:p>
    <w:p>
      <w:pPr>
        <w:pStyle w:val="13"/>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仿宋" w:hAnsi="仿宋" w:eastAsia="仿宋" w:cs="仿宋"/>
          <w:snapToGrid w:val="0"/>
          <w:kern w:val="2"/>
          <w:sz w:val="32"/>
          <w:szCs w:val="32"/>
        </w:rPr>
      </w:pPr>
      <w:r>
        <w:rPr>
          <w:rFonts w:hint="eastAsia" w:ascii="仿宋" w:hAnsi="仿宋" w:eastAsia="仿宋" w:cs="仿宋"/>
          <w:snapToGrid w:val="0"/>
          <w:kern w:val="2"/>
          <w:sz w:val="32"/>
          <w:szCs w:val="32"/>
        </w:rPr>
        <w:t>跟踪国际组织和主要经济体碳足迹相关管理制度、认证规则，加强碳足迹方法学研究。对标国际国内高标准规则体系，加强与国际认证机构交流合作，推动与我区贸易伙伴在碳足迹核算规则和认证结果方面衔接互认，助力企业拓展国际市场。按照国内统一大市场建设要求，发挥区域合作机制作用，积极联合国际国内高水平认证机构，与国内供应链一起优化产品生命周期碳足迹管理，完善数据共享互认机制，推动碳足迹数据采信应用，提升我区产品低碳竞争力。</w:t>
      </w:r>
    </w:p>
    <w:p>
      <w:pPr>
        <w:pStyle w:val="13"/>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仿宋" w:hAnsi="仿宋" w:eastAsia="仿宋" w:cs="仿宋"/>
          <w:snapToGrid w:val="0"/>
          <w:kern w:val="2"/>
          <w:sz w:val="32"/>
          <w:szCs w:val="32"/>
        </w:rPr>
      </w:pPr>
    </w:p>
    <w:p>
      <w:pPr>
        <w:pStyle w:val="13"/>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仿宋" w:hAnsi="仿宋" w:eastAsia="仿宋" w:cs="仿宋"/>
          <w:snapToGrid w:val="0"/>
          <w:kern w:val="2"/>
          <w:sz w:val="32"/>
          <w:szCs w:val="32"/>
        </w:rPr>
      </w:pPr>
    </w:p>
    <w:p>
      <w:pPr>
        <w:pStyle w:val="13"/>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仿宋" w:hAnsi="仿宋" w:eastAsia="仿宋" w:cs="仿宋"/>
          <w:snapToGrid w:val="0"/>
          <w:kern w:val="2"/>
          <w:sz w:val="32"/>
          <w:szCs w:val="32"/>
        </w:rPr>
      </w:pPr>
    </w:p>
    <w:p>
      <w:pPr>
        <w:pStyle w:val="13"/>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仿宋" w:hAnsi="仿宋" w:eastAsia="仿宋" w:cs="仿宋"/>
          <w:snapToGrid w:val="0"/>
          <w:kern w:val="2"/>
          <w:sz w:val="32"/>
          <w:szCs w:val="32"/>
        </w:rPr>
      </w:pPr>
    </w:p>
    <w:p>
      <w:pPr>
        <w:pStyle w:val="13"/>
        <w:keepNext w:val="0"/>
        <w:keepLines w:val="0"/>
        <w:pageBreakBefore w:val="0"/>
        <w:widowControl w:val="0"/>
        <w:tabs>
          <w:tab w:val="left" w:pos="7560"/>
        </w:tabs>
        <w:kinsoku/>
        <w:wordWrap/>
        <w:overflowPunct/>
        <w:topLinePunct/>
        <w:autoSpaceDE/>
        <w:autoSpaceDN/>
        <w:bidi w:val="0"/>
        <w:adjustRightInd/>
        <w:spacing w:line="580" w:lineRule="exact"/>
        <w:ind w:left="0" w:leftChars="0" w:firstLine="5360" w:firstLineChars="1675"/>
        <w:jc w:val="both"/>
        <w:textAlignment w:val="auto"/>
        <w:rPr>
          <w:rFonts w:hint="eastAsia" w:ascii="仿宋" w:hAnsi="仿宋" w:eastAsia="仿宋" w:cs="仿宋"/>
          <w:snapToGrid w:val="0"/>
          <w:kern w:val="2"/>
          <w:sz w:val="32"/>
          <w:szCs w:val="32"/>
        </w:rPr>
      </w:pPr>
      <w:r>
        <w:rPr>
          <w:rFonts w:hint="eastAsia" w:ascii="仿宋" w:hAnsi="仿宋" w:eastAsia="仿宋" w:cs="仿宋"/>
          <w:snapToGrid w:val="0"/>
          <w:kern w:val="2"/>
          <w:sz w:val="32"/>
          <w:szCs w:val="32"/>
          <w:lang w:val="en-US" w:eastAsia="zh-CN"/>
        </w:rPr>
        <w:t>2025年7月3日</w:t>
      </w:r>
    </w:p>
    <w:p>
      <w:pPr>
        <w:pStyle w:val="13"/>
        <w:keepNext w:val="0"/>
        <w:keepLines w:val="0"/>
        <w:pageBreakBefore w:val="0"/>
        <w:widowControl w:val="0"/>
        <w:kinsoku/>
        <w:wordWrap/>
        <w:overflowPunct/>
        <w:topLinePunct/>
        <w:autoSpaceDE/>
        <w:autoSpaceDN/>
        <w:bidi w:val="0"/>
        <w:adjustRightInd/>
        <w:spacing w:line="580" w:lineRule="exact"/>
        <w:ind w:firstLine="640" w:firstLineChars="200"/>
        <w:jc w:val="both"/>
        <w:textAlignment w:val="auto"/>
        <w:rPr>
          <w:rFonts w:hint="eastAsia"/>
        </w:rPr>
      </w:pPr>
      <w:r>
        <w:rPr>
          <w:rFonts w:hint="eastAsia" w:ascii="仿宋" w:hAnsi="仿宋" w:eastAsia="仿宋" w:cs="仿宋"/>
          <w:snapToGrid w:val="0"/>
          <w:kern w:val="2"/>
          <w:sz w:val="32"/>
          <w:szCs w:val="32"/>
          <w:lang w:val="en-US" w:eastAsia="zh-CN"/>
        </w:rPr>
        <w:t>（此件公开发布）</w:t>
      </w:r>
    </w:p>
    <w:p>
      <w:pPr>
        <w:pStyle w:val="2"/>
        <w:rPr>
          <w:rFonts w:hint="eastAsia"/>
        </w:rPr>
      </w:pPr>
      <w:bookmarkEnd w:id="0"/>
    </w:p>
    <w:bookmarkEnd w:id="1"/>
    <w:p>
      <w:pPr>
        <w:pStyle w:val="2"/>
        <w:rPr>
          <w:rFonts w:hint="eastAsia"/>
        </w:rPr>
      </w:pPr>
    </w:p>
    <w:p>
      <w:pPr>
        <w:rPr>
          <w:rFonts w:hint="eastAsia"/>
        </w:rPr>
      </w:pPr>
    </w:p>
    <w:p>
      <w:pPr>
        <w:pStyle w:val="2"/>
        <w:rPr>
          <w:rFonts w:hint="eastAsia"/>
        </w:rPr>
      </w:pPr>
    </w:p>
    <w:p>
      <w:pPr>
        <w:rPr>
          <w:rFonts w:hint="eastAsia" w:eastAsia="宋体"/>
          <w:lang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rPr>
          <w:rFonts w:hint="eastAsia"/>
        </w:rPr>
      </w:pPr>
    </w:p>
    <w:tbl>
      <w:tblPr>
        <w:tblStyle w:val="9"/>
        <w:tblW w:w="906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jc w:val="center"/>
        </w:trPr>
        <w:tc>
          <w:tcPr>
            <w:tcW w:w="90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hint="eastAsia" w:ascii="仿宋_GB2312" w:eastAsia="仿宋_GB2312"/>
                <w:sz w:val="28"/>
              </w:rPr>
            </w:pPr>
            <w:r>
              <w:rPr>
                <w:rFonts w:hint="eastAsia" w:ascii="仿宋_GB2312" w:eastAsia="仿宋_GB2312"/>
                <w:spacing w:val="6"/>
                <w:sz w:val="28"/>
              </w:rPr>
              <w:t>自治区人大常委会办公厅</w:t>
            </w:r>
            <w:r>
              <w:rPr>
                <w:rFonts w:hint="eastAsia" w:ascii="仿宋_GB2312" w:eastAsia="仿宋_GB2312"/>
                <w:spacing w:val="6"/>
                <w:sz w:val="28"/>
                <w:lang w:eastAsia="zh-CN"/>
              </w:rPr>
              <w:t>，自治区</w:t>
            </w:r>
            <w:r>
              <w:rPr>
                <w:rFonts w:hint="eastAsia" w:ascii="仿宋_GB2312" w:eastAsia="仿宋_GB2312"/>
                <w:spacing w:val="6"/>
                <w:sz w:val="28"/>
              </w:rPr>
              <w:t>政协办公厅，</w:t>
            </w:r>
            <w:r>
              <w:rPr>
                <w:rFonts w:hint="eastAsia" w:ascii="仿宋_GB2312" w:eastAsia="仿宋_GB2312"/>
                <w:spacing w:val="6"/>
                <w:sz w:val="28"/>
                <w:lang w:eastAsia="zh-CN"/>
              </w:rPr>
              <w:t>自治区监委，</w:t>
            </w:r>
            <w:r>
              <w:rPr>
                <w:rFonts w:hint="eastAsia" w:ascii="仿宋_GB2312" w:eastAsia="仿宋_GB2312"/>
                <w:sz w:val="28"/>
                <w:lang w:eastAsia="zh-CN"/>
              </w:rPr>
              <w:t>自治区高</w:t>
            </w:r>
            <w:r>
              <w:rPr>
                <w:rFonts w:hint="eastAsia" w:ascii="仿宋_GB2312" w:eastAsia="仿宋_GB2312"/>
                <w:sz w:val="28"/>
              </w:rPr>
              <w:t>级人民法院，</w:t>
            </w:r>
            <w:r>
              <w:rPr>
                <w:rFonts w:hint="eastAsia" w:ascii="仿宋_GB2312" w:eastAsia="仿宋_GB2312"/>
                <w:sz w:val="28"/>
                <w:lang w:eastAsia="zh-CN"/>
              </w:rPr>
              <w:t>自治区人民</w:t>
            </w:r>
            <w:r>
              <w:rPr>
                <w:rFonts w:hint="eastAsia" w:ascii="仿宋_GB2312" w:eastAsia="仿宋_GB2312"/>
                <w:sz w:val="28"/>
              </w:rPr>
              <w:t>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lang w:eastAsia="zh-CN"/>
              </w:rPr>
              <w:t>各民主党派区委会，</w:t>
            </w: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5"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3</w:t>
            </w:r>
            <w:r>
              <w:rPr>
                <w:rFonts w:hint="eastAsia" w:ascii="仿宋_GB2312" w:eastAsia="仿宋_GB2312"/>
                <w:sz w:val="28"/>
              </w:rPr>
              <w:t>日印发</w:t>
            </w:r>
          </w:p>
        </w:tc>
      </w:tr>
    </w:tbl>
    <w:p>
      <w:pPr>
        <w:spacing w:line="20" w:lineRule="exact"/>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3733165</wp:posOffset>
            </wp:positionH>
            <wp:positionV relativeFrom="paragraph">
              <wp:posOffset>310515</wp:posOffset>
            </wp:positionV>
            <wp:extent cx="1753235" cy="495935"/>
            <wp:effectExtent l="0" t="0" r="18415" b="18415"/>
            <wp:wrapSquare wrapText="bothSides"/>
            <wp:docPr id="1" name="图片 5" descr="NZB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NZBF29"/>
                    <pic:cNvPicPr>
                      <a:picLocks noChangeAspect="1"/>
                    </pic:cNvPicPr>
                  </pic:nvPicPr>
                  <pic:blipFill>
                    <a:blip r:embed="rId8"/>
                    <a:stretch>
                      <a:fillRect/>
                    </a:stretch>
                  </pic:blipFill>
                  <pic:spPr>
                    <a:xfrm>
                      <a:off x="0" y="0"/>
                      <a:ext cx="1753235" cy="495935"/>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9DD19"/>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C7E7E"/>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74D26E8"/>
    <w:rsid w:val="0ACD69C7"/>
    <w:rsid w:val="10AA3895"/>
    <w:rsid w:val="110F26B1"/>
    <w:rsid w:val="13404ED0"/>
    <w:rsid w:val="17C724B9"/>
    <w:rsid w:val="18C7778D"/>
    <w:rsid w:val="19335B61"/>
    <w:rsid w:val="1A7D41CF"/>
    <w:rsid w:val="1DA20A17"/>
    <w:rsid w:val="1FD3237E"/>
    <w:rsid w:val="21CE0EBF"/>
    <w:rsid w:val="22404F5A"/>
    <w:rsid w:val="24485B15"/>
    <w:rsid w:val="269818AA"/>
    <w:rsid w:val="287975C4"/>
    <w:rsid w:val="28BE28B0"/>
    <w:rsid w:val="294875D6"/>
    <w:rsid w:val="295D655F"/>
    <w:rsid w:val="2A133225"/>
    <w:rsid w:val="2F9D1059"/>
    <w:rsid w:val="2FAE9408"/>
    <w:rsid w:val="31A06BBE"/>
    <w:rsid w:val="34B22A4D"/>
    <w:rsid w:val="35FDD5C0"/>
    <w:rsid w:val="3BFFCE01"/>
    <w:rsid w:val="3FBF1407"/>
    <w:rsid w:val="3FFBED79"/>
    <w:rsid w:val="4224574B"/>
    <w:rsid w:val="456E4695"/>
    <w:rsid w:val="4A456A7E"/>
    <w:rsid w:val="4BB12688"/>
    <w:rsid w:val="4EFF8111"/>
    <w:rsid w:val="51650C56"/>
    <w:rsid w:val="56EFE085"/>
    <w:rsid w:val="5A0013FC"/>
    <w:rsid w:val="5B723991"/>
    <w:rsid w:val="5B9E864D"/>
    <w:rsid w:val="5BAE3879"/>
    <w:rsid w:val="5D077828"/>
    <w:rsid w:val="5D59C09A"/>
    <w:rsid w:val="5F1C7F00"/>
    <w:rsid w:val="619D5C96"/>
    <w:rsid w:val="64B86B45"/>
    <w:rsid w:val="657C4D13"/>
    <w:rsid w:val="662933E5"/>
    <w:rsid w:val="676EF5DC"/>
    <w:rsid w:val="67FFA6BD"/>
    <w:rsid w:val="6DFEC817"/>
    <w:rsid w:val="6E3E29D6"/>
    <w:rsid w:val="6ED7ED54"/>
    <w:rsid w:val="6F2C465B"/>
    <w:rsid w:val="6FBB592B"/>
    <w:rsid w:val="6FFF3EA7"/>
    <w:rsid w:val="719F311C"/>
    <w:rsid w:val="73F7C8F1"/>
    <w:rsid w:val="73FD1ED3"/>
    <w:rsid w:val="76EDA3FE"/>
    <w:rsid w:val="77D10C66"/>
    <w:rsid w:val="79DD1B74"/>
    <w:rsid w:val="7B77F8FB"/>
    <w:rsid w:val="7C5F7ACF"/>
    <w:rsid w:val="7CBE6E60"/>
    <w:rsid w:val="7D164783"/>
    <w:rsid w:val="7E960D71"/>
    <w:rsid w:val="7ED8B123"/>
    <w:rsid w:val="7FDC5B6E"/>
    <w:rsid w:val="7FEE5B67"/>
    <w:rsid w:val="87579677"/>
    <w:rsid w:val="9C7708E1"/>
    <w:rsid w:val="9FBFC814"/>
    <w:rsid w:val="AA7DC248"/>
    <w:rsid w:val="AC7E19A3"/>
    <w:rsid w:val="ADFF7B8D"/>
    <w:rsid w:val="AEDFBA12"/>
    <w:rsid w:val="BA9F4CE6"/>
    <w:rsid w:val="BBFE38AE"/>
    <w:rsid w:val="BDDECDD2"/>
    <w:rsid w:val="BDED09BA"/>
    <w:rsid w:val="BF416949"/>
    <w:rsid w:val="CB9FB827"/>
    <w:rsid w:val="CDA7FC5E"/>
    <w:rsid w:val="D39E1CC0"/>
    <w:rsid w:val="D7BF4C0E"/>
    <w:rsid w:val="DB7F5683"/>
    <w:rsid w:val="DDFD1478"/>
    <w:rsid w:val="DED9A6DF"/>
    <w:rsid w:val="E36FD040"/>
    <w:rsid w:val="EF77CB4B"/>
    <w:rsid w:val="EFF7D851"/>
    <w:rsid w:val="F5FF42E5"/>
    <w:rsid w:val="F6FFB97D"/>
    <w:rsid w:val="F776C558"/>
    <w:rsid w:val="FB7FE312"/>
    <w:rsid w:val="FDFF125C"/>
    <w:rsid w:val="FE6F37E1"/>
    <w:rsid w:val="FE8F9749"/>
    <w:rsid w:val="FEBF880A"/>
    <w:rsid w:val="FF79DD19"/>
    <w:rsid w:val="FFAFA988"/>
    <w:rsid w:val="FFFF18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方正小标宋_GBK" w:hAnsi="方正小标宋_GBK" w:eastAsia="方正小标宋_GBK" w:cs="方正小标宋_GBK"/>
      <w:sz w:val="44"/>
      <w:szCs w:val="44"/>
      <w:lang w:bidi="ar-SA"/>
    </w:rPr>
  </w:style>
  <w:style w:type="paragraph" w:styleId="3">
    <w:name w:val="Document Map"/>
    <w:basedOn w:val="1"/>
    <w:semiHidden/>
    <w:uiPriority w:val="0"/>
    <w:pPr>
      <w:shd w:val="clear" w:color="auto" w:fill="000080"/>
    </w:pPr>
  </w:style>
  <w:style w:type="paragraph" w:styleId="4">
    <w:name w:val="Date"/>
    <w:basedOn w:val="1"/>
    <w:next w:val="1"/>
    <w:link w:val="14"/>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widowControl w:val="0"/>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uiPriority w:val="0"/>
  </w:style>
  <w:style w:type="paragraph" w:customStyle="1"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 Char Char2"/>
    <w:basedOn w:val="11"/>
    <w:link w:val="4"/>
    <w:uiPriority w:val="0"/>
    <w:rPr>
      <w:rFonts w:ascii="仿宋_GB2312" w:hAnsi="Times New Roman" w:eastAsia="仿宋_GB2312" w:cs="Times New Roman"/>
      <w:kern w:val="2"/>
      <w:sz w:val="32"/>
      <w:szCs w:val="24"/>
      <w:lang w:bidi="ar-SA"/>
    </w:rPr>
  </w:style>
  <w:style w:type="character" w:customStyle="1" w:styleId="15">
    <w:name w:val=" Char Char"/>
    <w:basedOn w:val="11"/>
    <w:link w:val="6"/>
    <w:semiHidden/>
    <w:uiPriority w:val="99"/>
    <w:rPr>
      <w:rFonts w:ascii="Calibri" w:hAnsi="Calibri" w:eastAsia="宋体" w:cs="Mongolian Baiti"/>
      <w:kern w:val="2"/>
      <w:sz w:val="18"/>
      <w:szCs w:val="22"/>
    </w:rPr>
  </w:style>
  <w:style w:type="character" w:customStyle="1" w:styleId="16">
    <w:name w:val=" Char Char1"/>
    <w:basedOn w:val="11"/>
    <w:link w:val="7"/>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5</Pages>
  <Words>2222</Words>
  <Characters>2232</Characters>
  <Lines>1</Lines>
  <Paragraphs>1</Paragraphs>
  <TotalTime>3</TotalTime>
  <ScaleCrop>false</ScaleCrop>
  <LinksUpToDate>false</LinksUpToDate>
  <CharactersWithSpaces>2242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哈斯高娃:通知发起人</cp:lastModifiedBy>
  <cp:lastPrinted>2025-07-04T09:27:01Z</cp:lastPrinted>
  <dcterms:modified xsi:type="dcterms:W3CDTF">2025-07-04T09:51:19Z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